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5"/>
        </w:rPr>
        <w:t>Animais errantes e centros de recolha oficial</w:t>
      </w:r>
    </w:p>
    <w:p>
      <w:pPr>
        <w:spacing w:after="320"/>
      </w:pPr>
      <w:r>
        <w:rPr>
          <w:i/>
          <w:sz w:val="19"/>
        </w:rPr>
        <w:t>Projeto de DL das atividades económicas, versão de 25.9.2026. À consideração.</w:t>
      </w:r>
    </w:p>
    <w:p>
      <w:r>
        <w:t>Sobre a questão de incluir neste diploma a recolha de animais errantes de todas as espécies, deixamos cinco observações, no âmbito do bem-estar dos animais de companhia. A montante, note-se que a Lei n.º 38/2026, de 3 de agosto, já cometeu aos municípios o planeamento do alojamento de animais de qualquer espécie em situação de emergência.</w:t>
      </w:r>
    </w:p>
    <w:p>
      <w:r>
        <w:t>Primeira. O artigo 59.º pressupõe um período de guarda do animal, mas não identifica a instalação. O n.º 3 manda notificar o detentor para pagar as despesas realizadas com «a retirada, captura, transporte, alojamento, alimentação, identificação e cuidados médico-veterinários», pelo que há alojamento e alimentação a cargo de alguém. Na prática, a rede dos centros de recolha oficial é a única resposta pública instalada para recolha de animais errantes, e já hoje recebe outras espécies: o Relatório de Atividades dos CRO de 2025 refere que «alguns CRO têm ações realizadas com outras espécies», ainda que esses dados não tenham sido considerados para os totais.</w:t>
      </w:r>
    </w:p>
    <w:p>
      <w:r>
        <w:t>Segunda, e parece-nos o ponto que mais importa esclarecer: a lei não obsta a essa solução. A Lei n.º 27/2016 aprova medidas para a criação de uma rede de «centros de recolha oficial de animais», sem restrição de espécie. A limitação ao cão, ao gato e ao furão resulta do artigo 2.º da Portaria n.º 146/2017, que circunscreve o regime às espécies da Parte A do Anexo I do Regulamento (UE) 2016/429. Sendo matéria regulamentar, o âmbito pode ser ajustado sem alteração legislativa, e a iniciativa cabe a esta área.</w:t>
      </w:r>
    </w:p>
    <w:p>
      <w:r>
        <w:t>Terceira, e é o que nos parece dever ficar ressalvado: o que falta não é habilitação, são os critérios de bem-estar do alojamento. As normas técnicas em vigor foram escritas para animais de companhia e não cobrem as espécies pecuárias, pelo que não há parâmetro a aplicar. Uma norma para estas espécies teria de fixar áreas e dimensões por espécie e fase de desenvolvimento, separação entre espécies incompatíveis, com isolamento visual, sonoro e olfativo entre presas e predadores, quarentena e biossegurança à entrada, uma vez que o animal chega sem identificação e sem origem conhecida, alimentação e abeberamento próprios da espécie, meios de contenção e de maneio seguro e lotação máxima determinada pelos recursos efetivos da instalação. É o contributo concreto que esta área pode dar.</w:t>
      </w:r>
    </w:p>
    <w:p>
      <w:r>
        <w:t>Quarta. A infraestrutura já esteve prevista. Os Avisos de financiamento para construção e modernização de centros de recolha oficial fixaram, entre 2018 e 2025, um compartimento para outras espécies como requisito mínimo de um CRO municipal, com área mínima coberta de três metros quadrados por animal, primeiro sob o ICNF e depois sob a DGAV. O requisito não consta do Aviso em vigor e pode ser reposto por via administrativa. Deixamos a nota de que aquela área foi dimensionada para espécies de pequeno porte e é insuficiente para um equídeo, pelo que a reposição não deveria fazer-se por simples transcrição.</w:t>
      </w:r>
    </w:p>
    <w:p>
      <w:r>
        <w:t>Quinta. Convém ter presente que a solução traz consigo um regime favorável ao animal. Entrando num centro de recolha oficial, passa a aplicar-se-lhe a Lei n.º 27/2016, que não distingue espécies, com a presunção de abandono, a esterilização obrigatória, o encaminhamento para adoção e a proibição do abate como forma de controlo da população.</w:t>
      </w:r>
    </w:p>
    <w:p>
      <w:r>
        <w:t>Uma nota de precisão: o centro de recolha oficial e o «centro de agrupamento» definido no artigo 48.º são figuras distintas, com regimes e finalidades próprias.</w:t>
      </w:r>
    </w:p>
    <w:p>
      <w:r>
        <w:t>Ficamos ao dispor para desenvolver estes critérios, caso seja útil.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