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Comparativo norma a norma — Art.º 16.º do Regulamento (UE) 2023/0447</w:t>
      </w:r>
    </w:p>
    <w:p>
      <w:pPr>
        <w:jc w:val="center"/>
      </w:pPr>
      <w:r>
        <w:rPr>
          <w:b/>
          <w:sz w:val="20"/>
        </w:rPr>
        <w:t>Saúde (Health)</w:t>
      </w:r>
    </w:p>
    <w:p>
      <w:pPr>
        <w:spacing w:after="160"/>
        <w:jc w:val="center"/>
      </w:pPr>
      <w:r>
        <w:rPr>
          <w:i/>
          <w:sz w:val="15"/>
        </w:rPr>
        <w:t>@rgbeac: arts.º 33.º e 52.º (proposta, jun. 2025)  ·  @codigo: arts.º 6.º, 47.º e 49.º (DL 214/2013)  ·  @legislacao: arts.º 13.º e 16.º (DL 276/2001)  ·  19/03/2026</w:t>
      </w:r>
    </w:p>
    <w:tbl>
      <w:tblPr>
        <w:tblStyle w:val="TableGrid"/>
        <w:tblW w:type="auto" w:w="0"/>
        <w:tblLook w:firstColumn="1" w:firstRow="1" w:lastColumn="0" w:lastRow="0" w:noHBand="0" w:noVBand="1" w:val="04A0"/>
      </w:tblPr>
      <w:tblGrid>
        <w:gridCol w:w="2436"/>
        <w:gridCol w:w="2436"/>
        <w:gridCol w:w="2436"/>
        <w:gridCol w:w="2436"/>
      </w:tblGrid>
      <w:tr>
        <w:tc>
          <w:tcPr>
            <w:tcW w:type="dxa" w:w="1417"/>
          </w:tcPr>
          <w:p>
            <w:pPr>
              <w:spacing w:before="0" w:after="20"/>
              <w:jc w:val="left"/>
            </w:pPr>
            <w:r>
              <w:rPr>
                <w:b/>
                <w:sz w:val="16"/>
              </w:rPr>
              <w:t>Referência</w:t>
              <w:br/>
              <w:t>(@regulamento)</w:t>
            </w:r>
          </w:p>
        </w:tc>
        <w:tc>
          <w:tcPr>
            <w:tcW w:type="dxa" w:w="3118"/>
          </w:tcPr>
          <w:p>
            <w:pPr>
              <w:spacing w:before="0" w:after="20"/>
              <w:jc w:val="left"/>
            </w:pPr>
            <w:r>
              <w:rPr>
                <w:b/>
                <w:sz w:val="16"/>
              </w:rPr>
              <w:t>@regulamento (UE) 2023/0447</w:t>
              <w:br/>
              <w:t>texto EN verbatim</w:t>
            </w:r>
          </w:p>
        </w:tc>
        <w:tc>
          <w:tcPr>
            <w:tcW w:type="dxa" w:w="2438"/>
          </w:tcPr>
          <w:p>
            <w:pPr>
              <w:spacing w:before="0" w:after="20"/>
              <w:jc w:val="left"/>
            </w:pPr>
            <w:r>
              <w:rPr>
                <w:b/>
                <w:sz w:val="16"/>
              </w:rPr>
              <w:t>@rgbeac</w:t>
              <w:br/>
              <w:t>(proposta, jun. 2025)</w:t>
            </w:r>
          </w:p>
        </w:tc>
        <w:tc>
          <w:tcPr>
            <w:tcW w:type="dxa" w:w="2438"/>
          </w:tcPr>
          <w:p>
            <w:pPr>
              <w:spacing w:before="0" w:after="20"/>
              <w:jc w:val="left"/>
            </w:pPr>
            <w:r>
              <w:rPr>
                <w:b/>
                <w:sz w:val="16"/>
              </w:rPr>
              <w:t>@codigo</w:t>
              <w:br/>
              <w:t>(DL n.º 214/2013)</w:t>
            </w:r>
          </w:p>
        </w:tc>
      </w:tr>
      <w:tr>
        <w:tc>
          <w:tcPr>
            <w:tcW w:type="dxa" w:w="1417"/>
          </w:tcPr>
          <w:p>
            <w:pPr>
              <w:spacing w:before="0" w:after="20"/>
              <w:jc w:val="left"/>
            </w:pPr>
            <w:r>
              <w:rPr>
                <w:b/>
                <w:sz w:val="16"/>
              </w:rPr>
              <w:t>n.º 1 do art.º 16.º</w:t>
              <w:br/>
              <w:t>[introdução]</w:t>
            </w:r>
          </w:p>
        </w:tc>
        <w:tc>
          <w:tcPr>
            <w:tcW w:type="dxa" w:w="3118"/>
          </w:tcPr>
          <w:p>
            <w:pPr>
              <w:spacing w:before="0" w:after="20"/>
              <w:jc w:val="left"/>
            </w:pPr>
            <w:r>
              <w:rPr>
                <w:b/>
                <w:i/>
                <w:sz w:val="16"/>
              </w:rPr>
              <w:t>Operators shall ensure that:</w:t>
            </w:r>
          </w:p>
        </w:tc>
        <w:tc>
          <w:tcPr>
            <w:tcW w:type="dxa" w:w="2438"/>
          </w:tcPr>
          <w:p>
            <w:pPr>
              <w:spacing w:before="0" w:after="20"/>
              <w:jc w:val="left"/>
            </w:pPr>
            <w:r>
              <w:rPr>
                <w:b/>
                <w:i/>
                <w:sz w:val="16"/>
              </w:rPr>
              <w:t>[v. alíneas infra]</w:t>
            </w:r>
          </w:p>
        </w:tc>
        <w:tc>
          <w:tcPr>
            <w:tcW w:type="dxa" w:w="2438"/>
          </w:tcPr>
          <w:p>
            <w:pPr>
              <w:spacing w:before="0" w:after="20"/>
              <w:jc w:val="left"/>
            </w:pPr>
            <w:r>
              <w:rPr>
                <w:b/>
                <w:i/>
                <w:sz w:val="16"/>
              </w:rPr>
              <w:t>[v. alíneas infra]</w:t>
            </w:r>
          </w:p>
        </w:tc>
      </w:tr>
      <w:tr>
        <w:tc>
          <w:tcPr>
            <w:tcW w:type="dxa" w:w="1417"/>
          </w:tcPr>
          <w:p>
            <w:pPr>
              <w:spacing w:before="0" w:after="20"/>
              <w:jc w:val="left"/>
            </w:pPr>
            <w:r>
              <w:rPr>
                <w:b/>
                <w:sz w:val="16"/>
              </w:rPr>
              <w:t>al. a), do n.º 1,</w:t>
              <w:br/>
              <w:t>do art.º 16.º</w:t>
            </w:r>
          </w:p>
        </w:tc>
        <w:tc>
          <w:tcPr>
            <w:tcW w:type="dxa" w:w="3118"/>
          </w:tcPr>
          <w:p>
            <w:pPr>
              <w:spacing w:before="0" w:after="20"/>
              <w:jc w:val="left"/>
            </w:pPr>
            <w:r>
              <w:rPr>
                <w:sz w:val="16"/>
              </w:rPr>
              <w:t>"dogs or cats for which they are responsible are inspected by animal carers at least once a day and that vulnerable dogs and cats, such as newborns, ill or injured dogs and cats, and peri-partum bitches and queens, are inspected more frequently"</w:t>
            </w:r>
          </w:p>
        </w:tc>
        <w:tc>
          <w:tcPr>
            <w:tcW w:type="dxa" w:w="2438"/>
          </w:tcPr>
          <w:p>
            <w:pPr>
              <w:spacing w:before="0" w:after="20"/>
              <w:jc w:val="left"/>
            </w:pPr>
            <w:r>
              <w:rPr>
                <w:sz w:val="16"/>
              </w:rPr>
              <w:t>"Todos os animais devem ser alvo de inspeção no início e final do dia de trabalho e a cada quatro horas, sendo de imediato prestados os primeiros cuidados..."</w:t>
              <w:br/>
              <w:t>[art.º 52.º do RGBEAC]</w:t>
              <w:br/>
              <w:t>[correspondência parcial — sem diferenciação expressa para animais vulneráveis]</w:t>
            </w:r>
          </w:p>
        </w:tc>
        <w:tc>
          <w:tcPr>
            <w:tcW w:type="dxa" w:w="2438"/>
          </w:tcPr>
          <w:p>
            <w:pPr>
              <w:spacing w:before="0" w:after="20"/>
              <w:jc w:val="left"/>
            </w:pPr>
            <w:r>
              <w:rPr>
                <w:sz w:val="16"/>
              </w:rPr>
              <w:t>"Todos os animais devem ser alvo de inspeção diária, sendo de imediato prestados os primeiros cuidados aos que tiverem sinais que levem a suspeitar estarem doentes, lesionados ou com alterações comportamentais."</w:t>
              <w:br/>
              <w:t>[n.º 3 do art.º 47.º do DL 214/2013]</w:t>
              <w:br/>
              <w:t>[correspondência parcial — inspeção diária, sem diferenciação para animais vulneráveis]</w:t>
            </w:r>
          </w:p>
        </w:tc>
      </w:tr>
      <w:tr>
        <w:tc>
          <w:tcPr>
            <w:tcW w:type="dxa" w:w="1417"/>
          </w:tcPr>
          <w:p>
            <w:pPr>
              <w:spacing w:before="0" w:after="20"/>
              <w:jc w:val="left"/>
            </w:pPr>
            <w:r>
              <w:rPr>
                <w:b/>
                <w:sz w:val="16"/>
              </w:rPr>
              <w:t>al. b), do n.º 1,</w:t>
              <w:br/>
              <w:t>do art.º 16.º</w:t>
            </w:r>
          </w:p>
        </w:tc>
        <w:tc>
          <w:tcPr>
            <w:tcW w:type="dxa" w:w="3118"/>
          </w:tcPr>
          <w:p>
            <w:pPr>
              <w:spacing w:before="0" w:after="20"/>
              <w:jc w:val="left"/>
            </w:pPr>
            <w:r>
              <w:rPr>
                <w:sz w:val="16"/>
              </w:rPr>
              <w:t>"dogs or cats with compromised welfare are, where necessary, transferred without undue delay to a separate area and, where necessary, receive appropriate treatment"</w:t>
            </w:r>
          </w:p>
        </w:tc>
        <w:tc>
          <w:tcPr>
            <w:tcW w:type="dxa" w:w="2438"/>
          </w:tcPr>
          <w:p>
            <w:pPr>
              <w:spacing w:before="0" w:after="20"/>
              <w:jc w:val="left"/>
            </w:pPr>
            <w:r>
              <w:rPr>
                <w:sz w:val="16"/>
              </w:rPr>
              <w:t>"Os animais que apresentem sinais que levem a suspeitar de poderem estar doentes ou lesionados devem receber os primeiros cuidados pelo detentor e, se não houver indícios de recuperação, devem ser tratados por médico veterinário."</w:t>
              <w:br/>
              <w:t>[n.º 2 do art.º 33.º do RGBEAC]</w:t>
              <w:br/>
              <w:t>[correspondência parcial — sem referência a transferência para área separada]</w:t>
            </w:r>
          </w:p>
        </w:tc>
        <w:tc>
          <w:tcPr>
            <w:tcW w:type="dxa" w:w="2438"/>
          </w:tcPr>
          <w:p>
            <w:pPr>
              <w:spacing w:before="0" w:after="20"/>
              <w:jc w:val="left"/>
            </w:pPr>
            <w:r>
              <w:rPr>
                <w:sz w:val="16"/>
              </w:rPr>
              <w:t>"O detentor do animal deve assegurar ao animal ferido ou doente os cuidados médico-veterinários adequados, designadamente retirando o mesmo do alojamento sempre que este seja um local de venda."</w:t>
              <w:br/>
              <w:t>[art.º 6.º do DL 214/2013]</w:t>
              <w:br/>
              <w:t>[correspondência parcial — retirar do local de venda; sem referência a área separada]</w:t>
            </w:r>
          </w:p>
        </w:tc>
      </w:tr>
      <w:tr>
        <w:tc>
          <w:tcPr>
            <w:tcW w:type="dxa" w:w="1417"/>
          </w:tcPr>
          <w:p>
            <w:pPr>
              <w:spacing w:before="0" w:after="20"/>
              <w:jc w:val="left"/>
            </w:pPr>
            <w:r>
              <w:rPr>
                <w:b/>
                <w:sz w:val="16"/>
              </w:rPr>
              <w:t>al. c), do n.º 1,</w:t>
              <w:br/>
              <w:t>do art.º 16.º</w:t>
            </w:r>
          </w:p>
        </w:tc>
        <w:tc>
          <w:tcPr>
            <w:tcW w:type="dxa" w:w="3118"/>
          </w:tcPr>
          <w:p>
            <w:pPr>
              <w:spacing w:before="0" w:after="20"/>
              <w:jc w:val="left"/>
            </w:pPr>
            <w:r>
              <w:rPr>
                <w:sz w:val="16"/>
              </w:rPr>
              <w:t>"where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tc>
        <w:tc>
          <w:tcPr>
            <w:tcW w:type="dxa" w:w="2438"/>
          </w:tcPr>
          <w:p>
            <w:pPr>
              <w:spacing w:before="0" w:after="20"/>
              <w:jc w:val="left"/>
            </w:pPr>
            <w:r>
              <w:rPr>
                <w:sz w:val="16"/>
              </w:rPr>
              <w:t>sem correspondência</w:t>
              <w:br/>
              <w:t>(sem referência a eutanásia por indicação veterinária com anestesia e analgesia)</w:t>
            </w:r>
          </w:p>
        </w:tc>
        <w:tc>
          <w:tcPr>
            <w:tcW w:type="dxa" w:w="2438"/>
          </w:tcPr>
          <w:p>
            <w:pPr>
              <w:spacing w:before="0" w:after="20"/>
              <w:jc w:val="left"/>
            </w:pPr>
            <w:r>
              <w:rPr>
                <w:sz w:val="16"/>
              </w:rPr>
              <w:t>sem correspondência</w:t>
              <w:br/>
              <w:t>(sem referência a eutanásia por indicação veterinária com anestesia e analgesia)</w:t>
            </w:r>
          </w:p>
        </w:tc>
      </w:tr>
      <w:tr>
        <w:tc>
          <w:tcPr>
            <w:tcW w:type="dxa" w:w="1417"/>
          </w:tcPr>
          <w:p>
            <w:pPr>
              <w:spacing w:before="0" w:after="20"/>
              <w:jc w:val="left"/>
            </w:pPr>
            <w:r>
              <w:rPr>
                <w:b/>
                <w:sz w:val="16"/>
              </w:rPr>
              <w:t>al. d), do n.º 1,</w:t>
              <w:br/>
              <w:t>do art.º 16.º</w:t>
              <w:br/>
              <w:t>[1/2 — parasitas]</w:t>
            </w:r>
          </w:p>
        </w:tc>
        <w:tc>
          <w:tcPr>
            <w:tcW w:type="dxa" w:w="3118"/>
          </w:tcPr>
          <w:p>
            <w:pPr>
              <w:spacing w:before="0" w:after="20"/>
              <w:jc w:val="left"/>
            </w:pPr>
            <w:r>
              <w:rPr>
                <w:sz w:val="16"/>
              </w:rPr>
              <w:t>"measures are taken to prevent and control external and internal parasites"</w:t>
            </w:r>
          </w:p>
        </w:tc>
        <w:tc>
          <w:tcPr>
            <w:tcW w:type="dxa" w:w="2438"/>
          </w:tcPr>
          <w:p>
            <w:pPr>
              <w:spacing w:before="0" w:after="20"/>
              <w:jc w:val="left"/>
            </w:pPr>
            <w:r>
              <w:rPr>
                <w:sz w:val="16"/>
              </w:rPr>
              <w:t>"seguindo as orientações da DGAV em matéria de vacinação e tratamentos obrigatórios"</w:t>
              <w:br/>
              <w:t>[n.º 1 do art.º 33.º do RGBEAC]</w:t>
              <w:br/>
              <w:t>[correspondência parcial — tratamentos obrigatórios, implícito]</w:t>
            </w:r>
          </w:p>
        </w:tc>
        <w:tc>
          <w:tcPr>
            <w:tcW w:type="dxa" w:w="2438"/>
          </w:tcPr>
          <w:p>
            <w:pPr>
              <w:spacing w:before="0" w:after="20"/>
              <w:jc w:val="left"/>
            </w:pPr>
            <w:r>
              <w:rPr>
                <w:sz w:val="16"/>
              </w:rPr>
              <w:t>"os animais devem ser sujeitos a exames médico-veterinários de rotina, vacinações e desparasitações sempre que aconselhável"</w:t>
              <w:br/>
              <w:t>[n.º 2 do art.º 49.º do DL 214/2013]</w:t>
              <w:br/>
              <w:t>[correspondência direta — desparasitações]</w:t>
            </w:r>
          </w:p>
        </w:tc>
      </w:tr>
      <w:tr>
        <w:tc>
          <w:tcPr>
            <w:tcW w:type="dxa" w:w="1417"/>
          </w:tcPr>
          <w:p>
            <w:pPr>
              <w:spacing w:before="0" w:after="20"/>
              <w:jc w:val="left"/>
            </w:pPr>
            <w:r>
              <w:rPr>
                <w:b/>
                <w:sz w:val="16"/>
              </w:rPr>
              <w:t>al. d), do n.º 1,</w:t>
              <w:br/>
              <w:t>do art.º 16.º</w:t>
              <w:br/>
              <w:t>[2/2 — vacinações]</w:t>
            </w:r>
          </w:p>
        </w:tc>
        <w:tc>
          <w:tcPr>
            <w:tcW w:type="dxa" w:w="3118"/>
          </w:tcPr>
          <w:p>
            <w:pPr>
              <w:spacing w:before="0" w:after="20"/>
              <w:jc w:val="left"/>
            </w:pPr>
            <w:r>
              <w:rPr>
                <w:sz w:val="16"/>
              </w:rPr>
              <w:t>"vaccinations are carried out to prevent common diseases to which dogs or cats are likely to be exposed"</w:t>
            </w:r>
          </w:p>
        </w:tc>
        <w:tc>
          <w:tcPr>
            <w:tcW w:type="dxa" w:w="2438"/>
          </w:tcPr>
          <w:p>
            <w:pPr>
              <w:spacing w:before="0" w:after="20"/>
              <w:jc w:val="left"/>
            </w:pPr>
            <w:r>
              <w:rPr>
                <w:sz w:val="16"/>
              </w:rPr>
              <w:t>"seguindo as orientações da DGAV em matéria de vacinação e tratamentos obrigatórios"</w:t>
              <w:br/>
              <w:t>[n.º 1 do art.º 33.º do RGBEAC]</w:t>
              <w:br/>
              <w:t>[correspondência direta]</w:t>
            </w:r>
          </w:p>
        </w:tc>
        <w:tc>
          <w:tcPr>
            <w:tcW w:type="dxa" w:w="2438"/>
          </w:tcPr>
          <w:p>
            <w:pPr>
              <w:spacing w:before="0" w:after="20"/>
              <w:jc w:val="left"/>
            </w:pPr>
            <w:r>
              <w:rPr>
                <w:sz w:val="16"/>
              </w:rPr>
              <w:t>"vacinações e desparasitações sempre que aconselhável"</w:t>
              <w:br/>
              <w:t>[n.º 2 do art.º 49.º do DL 214/2013]</w:t>
              <w:br/>
              <w:t>[correspondência direta]</w:t>
            </w:r>
          </w:p>
        </w:tc>
      </w:tr>
      <w:tr>
        <w:tc>
          <w:tcPr>
            <w:tcW w:type="dxa" w:w="1417"/>
          </w:tcPr>
          <w:p>
            <w:pPr>
              <w:spacing w:before="0" w:after="20"/>
              <w:jc w:val="left"/>
            </w:pPr>
            <w:r>
              <w:rPr>
                <w:b/>
                <w:sz w:val="16"/>
              </w:rPr>
              <w:t>al. e), do n.º 1,</w:t>
              <w:br/>
              <w:t>do art.º 16.º</w:t>
            </w:r>
          </w:p>
        </w:tc>
        <w:tc>
          <w:tcPr>
            <w:tcW w:type="dxa" w:w="3118"/>
          </w:tcPr>
          <w:p>
            <w:pPr>
              <w:spacing w:before="0" w:after="20"/>
              <w:jc w:val="left"/>
            </w:pPr>
            <w:r>
              <w:rPr>
                <w:sz w:val="16"/>
              </w:rPr>
              <w:t>"enrichments that are used do not present a significant risk to dogs and cats of injury or biological or chemical contamination or any other health risk"</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Derogação à al. a)</w:t>
              <w:br/>
              <w:t>do n.º 1 do art.º 16.º</w:t>
            </w:r>
          </w:p>
        </w:tc>
        <w:tc>
          <w:tcPr>
            <w:tcW w:type="dxa" w:w="3118"/>
          </w:tcPr>
          <w:p>
            <w:pPr>
              <w:spacing w:before="0" w:after="20"/>
              <w:jc w:val="left"/>
            </w:pPr>
            <w:r>
              <w:rPr>
                <w:sz w:val="16"/>
              </w:rPr>
              <w:t>"Point (a) shall not apply to livestock guardian dogs kept in breeding establishments during the periods when such dogs are used for guarding or training purposes."</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Derogação à al. c)</w:t>
              <w:br/>
              <w:t>do n.º 1 do art.º 16.º</w:t>
              <w:br/>
              <w:t>[emergência]</w:t>
            </w:r>
          </w:p>
        </w:tc>
        <w:tc>
          <w:tcPr>
            <w:tcW w:type="dxa" w:w="3118"/>
          </w:tcPr>
          <w:p>
            <w:pPr>
              <w:spacing w:before="0" w:after="20"/>
              <w:jc w:val="left"/>
            </w:pPr>
            <w:r>
              <w:rPr>
                <w:sz w:val="16"/>
              </w:rPr>
              <w:t>"Member States may grant exemptions from point (c) in cases of emergency, where no veterinarian can be reached without undue delay, provided that national rules are put in place to ensure that:</w:t>
              <w:br/>
              <w:t>– any immediate action ending the life of the dog or cat with minimum pain and suffering using a method inducing instant death is undertaken by a trained competent person;</w:t>
              <w:br/>
              <w:t>– the operator keeps a record of the use of the exemption."</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n.º 2 do art.º 16.º</w:t>
              <w:br/>
              <w:t>[criadores —</w:t>
              <w:br/>
              <w:t>introdução]</w:t>
            </w:r>
          </w:p>
        </w:tc>
        <w:tc>
          <w:tcPr>
            <w:tcW w:type="dxa" w:w="3118"/>
          </w:tcPr>
          <w:p>
            <w:pPr>
              <w:spacing w:before="0" w:after="20"/>
              <w:jc w:val="left"/>
            </w:pPr>
            <w:r>
              <w:rPr>
                <w:b/>
                <w:i/>
                <w:sz w:val="16"/>
              </w:rPr>
              <w:t>Operators of breeding establishments shall ensure that:</w:t>
            </w:r>
          </w:p>
        </w:tc>
        <w:tc>
          <w:tcPr>
            <w:tcW w:type="dxa" w:w="2438"/>
          </w:tcPr>
          <w:p>
            <w:pPr>
              <w:spacing w:before="0" w:after="20"/>
              <w:jc w:val="left"/>
            </w:pPr>
            <w:r>
              <w:rPr>
                <w:b/>
                <w:i/>
                <w:sz w:val="16"/>
              </w:rPr>
              <w:t>[v. alíneas infra]</w:t>
            </w:r>
          </w:p>
        </w:tc>
        <w:tc>
          <w:tcPr>
            <w:tcW w:type="dxa" w:w="2438"/>
          </w:tcPr>
          <w:p>
            <w:pPr>
              <w:spacing w:before="0" w:after="20"/>
              <w:jc w:val="left"/>
            </w:pPr>
            <w:r>
              <w:rPr>
                <w:b/>
                <w:i/>
                <w:sz w:val="16"/>
              </w:rPr>
              <w:t>[v. alíneas infra]</w:t>
            </w:r>
          </w:p>
        </w:tc>
      </w:tr>
      <w:tr>
        <w:tc>
          <w:tcPr>
            <w:tcW w:type="dxa" w:w="1417"/>
          </w:tcPr>
          <w:p>
            <w:pPr>
              <w:spacing w:before="0" w:after="20"/>
              <w:jc w:val="left"/>
            </w:pPr>
            <w:r>
              <w:rPr>
                <w:b/>
                <w:sz w:val="16"/>
              </w:rPr>
              <w:t>n.º 2, [al. a)],</w:t>
              <w:br/>
              <w:t>do art.º 16.º</w:t>
              <w:br/>
              <w:t>[Anexo I, ponto 3]</w:t>
            </w:r>
          </w:p>
        </w:tc>
        <w:tc>
          <w:tcPr>
            <w:tcW w:type="dxa" w:w="3118"/>
          </w:tcPr>
          <w:p>
            <w:pPr>
              <w:spacing w:before="0" w:after="20"/>
              <w:jc w:val="left"/>
            </w:pPr>
            <w:r>
              <w:rPr>
                <w:sz w:val="16"/>
              </w:rPr>
              <w:t>"measures are taken to safeguard the health of dogs or cats in accordance with point 3 of Annex I"</w:t>
            </w:r>
          </w:p>
        </w:tc>
        <w:tc>
          <w:tcPr>
            <w:tcW w:type="dxa" w:w="2438"/>
          </w:tcPr>
          <w:p>
            <w:pPr>
              <w:spacing w:before="0" w:after="20"/>
              <w:jc w:val="left"/>
            </w:pPr>
            <w:r>
              <w:rPr>
                <w:sz w:val="16"/>
              </w:rPr>
              <w:t>sem correspondência</w:t>
              <w:br/>
              <w:t>(sem remissão expressa para critérios do Anexo I)</w:t>
            </w:r>
          </w:p>
        </w:tc>
        <w:tc>
          <w:tcPr>
            <w:tcW w:type="dxa" w:w="2438"/>
          </w:tcPr>
          <w:p>
            <w:pPr>
              <w:spacing w:before="0" w:after="20"/>
              <w:jc w:val="left"/>
            </w:pPr>
            <w:r>
              <w:rPr>
                <w:sz w:val="16"/>
              </w:rPr>
              <w:t>sem correspondência</w:t>
              <w:br/>
              <w:t>(sem remissão expressa para critérios do Anexo I)</w:t>
            </w:r>
          </w:p>
        </w:tc>
      </w:tr>
      <w:tr>
        <w:tc>
          <w:tcPr>
            <w:tcW w:type="dxa" w:w="1417"/>
          </w:tcPr>
          <w:p>
            <w:pPr>
              <w:spacing w:before="0" w:after="20"/>
              <w:jc w:val="left"/>
            </w:pPr>
            <w:r>
              <w:rPr>
                <w:b/>
                <w:sz w:val="16"/>
              </w:rPr>
              <w:t>n.º 2, [al. b)],</w:t>
              <w:br/>
              <w:t>do art.º 16.º</w:t>
              <w:br/>
              <w:t>[idade mínima reprodutoras]</w:t>
            </w:r>
          </w:p>
        </w:tc>
        <w:tc>
          <w:tcPr>
            <w:tcW w:type="dxa" w:w="3118"/>
          </w:tcPr>
          <w:p>
            <w:pPr>
              <w:spacing w:before="0" w:after="20"/>
              <w:jc w:val="left"/>
            </w:pPr>
            <w:r>
              <w:rPr>
                <w:sz w:val="16"/>
              </w:rPr>
              <w:t>"bitches or queens are bred only if they have reached a minimum age"</w:t>
            </w:r>
          </w:p>
        </w:tc>
        <w:tc>
          <w:tcPr>
            <w:tcW w:type="dxa" w:w="2438"/>
          </w:tcPr>
          <w:p>
            <w:pPr>
              <w:spacing w:before="0" w:after="20"/>
              <w:jc w:val="left"/>
            </w:pPr>
            <w:r>
              <w:rPr>
                <w:sz w:val="16"/>
              </w:rPr>
              <w:t>sem correspondência</w:t>
              <w:br/>
              <w:t>(ver análise do art.º 8.º do @regulamento)</w:t>
            </w:r>
          </w:p>
        </w:tc>
        <w:tc>
          <w:tcPr>
            <w:tcW w:type="dxa" w:w="2438"/>
          </w:tcPr>
          <w:p>
            <w:pPr>
              <w:spacing w:before="0" w:after="20"/>
              <w:jc w:val="left"/>
            </w:pPr>
            <w:r>
              <w:rPr>
                <w:sz w:val="16"/>
              </w:rPr>
              <w:t>sem correspondência</w:t>
              <w:br/>
              <w:t>(ver análise do art.º 8.º do @regulamento)</w:t>
            </w:r>
          </w:p>
        </w:tc>
      </w:tr>
    </w:tbl>
    <w:p>
      <w:pPr>
        <w:spacing w:before="120"/>
      </w:pPr>
      <w:r>
        <w:rPr>
          <w:i/>
          <w:sz w:val="15"/>
        </w:rPr>
        <w:t>Nota: o texto do n.º 2 do art.º 16.º surge truncado no comparativo_reuniao_exemplo.docx; as sub-alíneas do n.º 2 são inferidas do contexto e da análise do art.º 8.º referenciado nas notas de divergência. Diplomas: @rgbeac (arts.º 33.º e 52.º), @codigo (arts.º 6.º, 47.º e 49.º do DL n.º 214/2013), @legislacao (arts.º 13.º e 16.º do DL n.º 276/2001, de 17 de outubro).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