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Comparativo norma a norma — Art.º 18.º do Regulamento (UE) 2023/0447</w:t>
      </w:r>
    </w:p>
    <w:p>
      <w:pPr>
        <w:spacing w:after="40"/>
        <w:jc w:val="center"/>
      </w:pPr>
      <w:r>
        <w:rPr>
          <w:b/>
          <w:sz w:val="20"/>
        </w:rPr>
        <w:t>Práticas Dolorosas (Painful practices)</w:t>
      </w:r>
    </w:p>
    <w:p>
      <w:pPr>
        <w:spacing w:after="160"/>
        <w:jc w:val="center"/>
      </w:pPr>
      <w:r>
        <w:rPr>
          <w:i/>
          <w:sz w:val="15"/>
        </w:rPr>
        <w:t>@rgbeac: arts.º 12.º, 22.º e 34.º (proposta, jun. 2025)  ·  @codigo: arts.º 51.º e 52.º (DL 214/2013)  ·  @legislacao: arts.º 17.º e 18.º (DL 276/2001)  ·  19/03/2026</w:t>
      </w:r>
    </w:p>
    <w:tbl>
      <w:tblPr>
        <w:tblStyle w:val="TableGrid"/>
        <w:tblW w:type="auto" w:w="0"/>
        <w:tblLook w:firstColumn="1" w:firstRow="1" w:lastColumn="0" w:lastRow="0" w:noHBand="0" w:noVBand="1" w:val="04A0"/>
      </w:tblPr>
      <w:tblGrid>
        <w:gridCol w:w="2436"/>
        <w:gridCol w:w="2436"/>
        <w:gridCol w:w="2436"/>
        <w:gridCol w:w="2436"/>
      </w:tblGrid>
      <w:tr>
        <w:tc>
          <w:tcPr>
            <w:tcW w:type="dxa" w:w="1417"/>
          </w:tcPr>
          <w:p>
            <w:pPr>
              <w:spacing w:before="0" w:after="20"/>
              <w:jc w:val="left"/>
            </w:pPr>
            <w:r>
              <w:rPr>
                <w:b/>
                <w:sz w:val="16"/>
              </w:rPr>
              <w:t>Referência</w:t>
              <w:br/>
              <w:t>(@regulamento)</w:t>
            </w:r>
          </w:p>
        </w:tc>
        <w:tc>
          <w:tcPr>
            <w:tcW w:type="dxa" w:w="3118"/>
          </w:tcPr>
          <w:p>
            <w:pPr>
              <w:spacing w:before="0" w:after="20"/>
              <w:jc w:val="left"/>
            </w:pPr>
            <w:r>
              <w:rPr>
                <w:b/>
                <w:sz w:val="16"/>
              </w:rPr>
              <w:t>@regulamento (UE) 2023/0447</w:t>
              <w:br/>
              <w:t>texto EN verbatim</w:t>
            </w:r>
          </w:p>
        </w:tc>
        <w:tc>
          <w:tcPr>
            <w:tcW w:type="dxa" w:w="2438"/>
          </w:tcPr>
          <w:p>
            <w:pPr>
              <w:spacing w:before="0" w:after="20"/>
              <w:jc w:val="left"/>
            </w:pPr>
            <w:r>
              <w:rPr>
                <w:b/>
                <w:sz w:val="16"/>
              </w:rPr>
              <w:t>@rgbeac</w:t>
              <w:br/>
              <w:t>(proposta, jun. 2025)</w:t>
            </w:r>
          </w:p>
        </w:tc>
        <w:tc>
          <w:tcPr>
            <w:tcW w:type="dxa" w:w="2438"/>
          </w:tcPr>
          <w:p>
            <w:pPr>
              <w:spacing w:before="0" w:after="20"/>
              <w:jc w:val="left"/>
            </w:pPr>
            <w:r>
              <w:rPr>
                <w:b/>
                <w:sz w:val="16"/>
              </w:rPr>
              <w:t>@codigo</w:t>
              <w:br/>
              <w:t>(DL n.º 214/2013)</w:t>
            </w:r>
          </w:p>
        </w:tc>
      </w:tr>
      <w:tr>
        <w:tc>
          <w:tcPr>
            <w:tcW w:type="dxa" w:w="1417"/>
          </w:tcPr>
          <w:p>
            <w:pPr>
              <w:spacing w:before="0" w:after="20"/>
              <w:jc w:val="left"/>
            </w:pPr>
            <w:r>
              <w:rPr>
                <w:b/>
                <w:sz w:val="16"/>
              </w:rPr>
              <w:t>n.º 1 do art.º 18.º</w:t>
            </w:r>
          </w:p>
        </w:tc>
        <w:tc>
          <w:tcPr>
            <w:tcW w:type="dxa" w:w="3118"/>
          </w:tcPr>
          <w:p>
            <w:pPr>
              <w:spacing w:before="0" w:after="20"/>
              <w:jc w:val="left"/>
            </w:pPr>
            <w:r>
              <w:rPr>
                <w:sz w:val="16"/>
              </w:rPr>
              <w:t>"Operators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 cases, the procedure shall be performed only under anaesthesia and prolonged analgesia and only by a veterinarian."</w:t>
            </w:r>
          </w:p>
        </w:tc>
        <w:tc>
          <w:tcPr>
            <w:tcW w:type="dxa" w:w="2438"/>
          </w:tcPr>
          <w:p>
            <w:pPr>
              <w:spacing w:before="0" w:after="20"/>
              <w:jc w:val="left"/>
            </w:pPr>
            <w:r>
              <w:rPr>
                <w:sz w:val="16"/>
              </w:rPr>
              <w:t>"São proibidas as intervenções cirúrgicas com o objetivo da modificação da aparência ou com fins não curativos ou não destinados a impedir a reprodução dos animais."</w:t>
              <w:br/>
              <w:t>[n.º 1 do art.º 34.º do RGBEAC; al. i) do n.º 1 do art.º 12.º do RGBEAC]</w:t>
              <w:br/>
              <w:t>[correspondência parcial — proibição alinhada; sem exigência expressa de anestesia e analgesia prolongada como condição das exceções]</w:t>
            </w:r>
          </w:p>
        </w:tc>
        <w:tc>
          <w:tcPr>
            <w:tcW w:type="dxa" w:w="2438"/>
          </w:tcPr>
          <w:p>
            <w:pPr>
              <w:spacing w:before="0" w:after="20"/>
              <w:jc w:val="left"/>
            </w:pPr>
            <w:r>
              <w:rPr>
                <w:sz w:val="16"/>
              </w:rPr>
              <w:t>"São proibidas as mutilações que modifiquem a aparência dos animais ou que sejam realizadas com objetivos não curativos, designadamente o corte de orelhas ou de cordas vocais e a excisão de garras ou unhas, de dentes ou presas."</w:t>
              <w:br/>
              <w:t>"As intervenções cirúrgicas têm de ser executadas por um médico veterinário."</w:t>
              <w:br/>
              <w:t>[n.ºs 1-2 do art.º 52.º e art.º 51.º do DL 214/2013]</w:t>
              <w:br/>
              <w:t>[correspondência parcial — proibição alinhada; execução por MV prevista; sem exigência expressa de anestesia e analgesia prolongada]</w:t>
            </w:r>
          </w:p>
        </w:tc>
      </w:tr>
      <w:tr>
        <w:tc>
          <w:tcPr>
            <w:tcW w:type="dxa" w:w="1417"/>
          </w:tcPr>
          <w:p>
            <w:pPr>
              <w:spacing w:before="0" w:after="20"/>
              <w:jc w:val="left"/>
            </w:pPr>
            <w:r>
              <w:rPr>
                <w:b/>
                <w:sz w:val="16"/>
              </w:rPr>
              <w:t>n.º 2 do art.º 18.º</w:t>
            </w:r>
          </w:p>
        </w:tc>
        <w:tc>
          <w:tcPr>
            <w:tcW w:type="dxa" w:w="3118"/>
          </w:tcPr>
          <w:p>
            <w:pPr>
              <w:spacing w:before="0" w:after="20"/>
              <w:jc w:val="left"/>
            </w:pPr>
            <w:r>
              <w:rPr>
                <w:sz w:val="16"/>
              </w:rPr>
              <w:t>"The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of the establishment where the mutilation was performed shall retain a copy of the document for the first three years after that transfer."</w:t>
            </w:r>
          </w:p>
        </w:tc>
        <w:tc>
          <w:tcPr>
            <w:tcW w:type="dxa" w:w="2438"/>
          </w:tcPr>
          <w:p>
            <w:pPr>
              <w:spacing w:before="0" w:after="20"/>
              <w:jc w:val="left"/>
            </w:pPr>
            <w:r>
              <w:rPr>
                <w:sz w:val="16"/>
              </w:rPr>
              <w:t>"O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w:t>
              <w:br/>
              <w:t>[n.º 2 do art.º 34.º do RGBEAC]</w:t>
              <w:br/>
              <w:t>[correspondência parcial — documento previsto; faltam: obrigação de acompanhar o animal na transferência; retenção de cópia por 3 anos]</w:t>
            </w:r>
          </w:p>
        </w:tc>
        <w:tc>
          <w:tcPr>
            <w:tcW w:type="dxa" w:w="2438"/>
          </w:tcPr>
          <w:p>
            <w:pPr>
              <w:spacing w:before="0" w:after="20"/>
              <w:jc w:val="left"/>
            </w:pPr>
            <w:r>
              <w:rPr>
                <w:sz w:val="16"/>
              </w:rPr>
              <w:t>"Os detentores de animais de companhia que os apresentem com quaisquer mutilações que modifiquem a aparência dos animais, devem possuir documento comprovativo, passado pelo médico veterinário que a elas procedeu, da necessidade dessa mutilação... sob a forma de um atestado, do qual constem a identificação do médico veterinário, o número da cédula profissional e a sua assinatura, bem como a causa da mutilação."</w:t>
              <w:br/>
              <w:t>[n.ºs 4-5 do art.º 52.º do DL 214/2013]</w:t>
              <w:br/>
              <w:t>[correspondência parcial — atestado previsto; faltam: obrigação de acompanhar o animal na transferência; retenção de cópia por 3 anos]</w:t>
            </w:r>
          </w:p>
        </w:tc>
      </w:tr>
      <w:tr>
        <w:tc>
          <w:tcPr>
            <w:tcW w:type="dxa" w:w="1417"/>
          </w:tcPr>
          <w:p>
            <w:pPr>
              <w:spacing w:before="0" w:after="20"/>
              <w:jc w:val="left"/>
            </w:pPr>
            <w:r>
              <w:rPr>
                <w:b/>
                <w:sz w:val="16"/>
              </w:rPr>
              <w:t>n.º 3 do art.º 18.º</w:t>
              <w:br/>
              <w:t>[derrogação —</w:t>
              <w:br/>
              <w:t>gatos errantes TNR]</w:t>
            </w:r>
          </w:p>
        </w:tc>
        <w:tc>
          <w:tcPr>
            <w:tcW w:type="dxa" w:w="3118"/>
          </w:tcPr>
          <w:p>
            <w:pPr>
              <w:spacing w:before="0" w:after="20"/>
              <w:jc w:val="left"/>
            </w:pPr>
            <w:r>
              <w:rPr>
                <w:sz w:val="16"/>
              </w:rPr>
              <w:t>"By way of derogation from paragraph 1, Member States may allow ear cropping by notching or tipping cat ears in the context of marking stray cats when neutered under a 'trap-neuter-return' programme."</w:t>
            </w:r>
          </w:p>
        </w:tc>
        <w:tc>
          <w:tcPr>
            <w:tcW w:type="dxa" w:w="2438"/>
          </w:tcPr>
          <w:p>
            <w:pPr>
              <w:spacing w:before="0" w:after="20"/>
              <w:jc w:val="left"/>
            </w:pPr>
            <w:r>
              <w:rPr>
                <w:sz w:val="16"/>
              </w:rPr>
              <w:t>"corte das orelhas que não seja realizada para fins de identificação de animais esterilizados conforme boas práticas internacionais"</w:t>
              <w:br/>
              <w:t>[al. i) do n.º 1 do art.º 12.º do RGBEAC]</w:t>
              <w:br/>
              <w:t>[correspondência direta — ressalva expressa do corte para identificação de animais esterilizados]</w:t>
            </w:r>
          </w:p>
        </w:tc>
        <w:tc>
          <w:tcPr>
            <w:tcW w:type="dxa" w:w="2438"/>
          </w:tcPr>
          <w:p>
            <w:pPr>
              <w:spacing w:before="0" w:after="20"/>
              <w:jc w:val="left"/>
            </w:pPr>
            <w:r>
              <w:rPr>
                <w:sz w:val="16"/>
              </w:rPr>
              <w:t>sem correspondência</w:t>
              <w:br/>
              <w:t>(proibição de corte de orelhas sem exceção TNR prevista)</w:t>
            </w:r>
          </w:p>
        </w:tc>
      </w:tr>
      <w:tr>
        <w:tc>
          <w:tcPr>
            <w:tcW w:type="dxa" w:w="1417"/>
          </w:tcPr>
          <w:p>
            <w:pPr>
              <w:spacing w:before="0" w:after="20"/>
              <w:jc w:val="left"/>
            </w:pPr>
            <w:r>
              <w:rPr>
                <w:b/>
                <w:sz w:val="16"/>
              </w:rPr>
              <w:t>n.º 4 do art.º 18.º</w:t>
            </w:r>
          </w:p>
        </w:tc>
        <w:tc>
          <w:tcPr>
            <w:tcW w:type="dxa" w:w="3118"/>
          </w:tcPr>
          <w:p>
            <w:pPr>
              <w:spacing w:before="0" w:after="20"/>
              <w:jc w:val="left"/>
            </w:pPr>
            <w:r>
              <w:rPr>
                <w:sz w:val="16"/>
              </w:rPr>
              <w:t>"Operators shall ensure that neutering is performed only under anaesthesia and prolonged analgesia and only by a veterinarian. However, Member States may allow the neutering of male cats to be performed by a licensed veterinary nurse."</w:t>
            </w:r>
          </w:p>
        </w:tc>
        <w:tc>
          <w:tcPr>
            <w:tcW w:type="dxa" w:w="2438"/>
          </w:tcPr>
          <w:p>
            <w:pPr>
              <w:spacing w:before="0" w:after="20"/>
              <w:jc w:val="left"/>
            </w:pPr>
            <w:r>
              <w:rPr>
                <w:sz w:val="16"/>
              </w:rPr>
              <w:t>"O detentor de um animal de companhia que pretenda controlar a reprodução do mesmo deve fazê-lo de acordo com as orientações de um médico veterinário, salvaguardando sempre o mínimo sofrimento do animal."</w:t>
              <w:br/>
              <w:t>[art.º 22.º do RGBEAC]</w:t>
              <w:br/>
              <w:t>[correspondência parcial — orientação de MV prevista; sem referência expressa a anestesia e analgesia prolongada; sem derrogação para enfermeiro veterinário licenciado]</w:t>
            </w:r>
          </w:p>
        </w:tc>
        <w:tc>
          <w:tcPr>
            <w:tcW w:type="dxa" w:w="2438"/>
          </w:tcPr>
          <w:p>
            <w:pPr>
              <w:spacing w:before="0" w:after="20"/>
              <w:jc w:val="left"/>
            </w:pPr>
            <w:r>
              <w:rPr>
                <w:sz w:val="16"/>
              </w:rPr>
              <w:t>sem correspondência</w:t>
              <w:br/>
              <w:t>(sem disposição específica sobre esterilização com anestesia/analgesia)</w:t>
            </w:r>
          </w:p>
        </w:tc>
      </w:tr>
      <w:tr>
        <w:tc>
          <w:tcPr>
            <w:tcW w:type="dxa" w:w="1417"/>
          </w:tcPr>
          <w:p>
            <w:pPr>
              <w:spacing w:before="0" w:after="20"/>
              <w:jc w:val="left"/>
            </w:pPr>
            <w:r>
              <w:rPr>
                <w:b/>
                <w:sz w:val="16"/>
              </w:rPr>
              <w:t>n.º 5 do art.º 18.º</w:t>
              <w:br/>
              <w:t>[introdução]</w:t>
            </w:r>
          </w:p>
        </w:tc>
        <w:tc>
          <w:tcPr>
            <w:tcW w:type="dxa" w:w="3118"/>
          </w:tcPr>
          <w:p>
            <w:pPr>
              <w:spacing w:before="0" w:after="20"/>
              <w:jc w:val="left"/>
            </w:pPr>
            <w:r>
              <w:rPr>
                <w:b/>
                <w:i/>
                <w:sz w:val="16"/>
              </w:rPr>
              <w:t>Operators shall ensure that handling practices that cause pain or suffering are not performed, including:</w:t>
            </w:r>
          </w:p>
        </w:tc>
        <w:tc>
          <w:tcPr>
            <w:tcW w:type="dxa" w:w="2438"/>
          </w:tcPr>
          <w:p>
            <w:pPr>
              <w:spacing w:before="0" w:after="20"/>
              <w:jc w:val="left"/>
            </w:pPr>
            <w:r>
              <w:rPr>
                <w:b/>
                <w:i/>
                <w:sz w:val="16"/>
              </w:rPr>
              <w:t>[v. alíneas infra]</w:t>
            </w:r>
          </w:p>
        </w:tc>
        <w:tc>
          <w:tcPr>
            <w:tcW w:type="dxa" w:w="2438"/>
          </w:tcPr>
          <w:p>
            <w:pPr>
              <w:spacing w:before="0" w:after="20"/>
              <w:jc w:val="left"/>
            </w:pPr>
            <w:r>
              <w:rPr>
                <w:b/>
                <w:i/>
                <w:sz w:val="16"/>
              </w:rPr>
              <w:t>[v. alíneas infra]</w:t>
            </w:r>
          </w:p>
        </w:tc>
      </w:tr>
      <w:tr>
        <w:tc>
          <w:tcPr>
            <w:tcW w:type="dxa" w:w="1417"/>
          </w:tcPr>
          <w:p>
            <w:pPr>
              <w:spacing w:before="0" w:after="20"/>
              <w:jc w:val="left"/>
            </w:pPr>
            <w:r>
              <w:rPr>
                <w:b/>
                <w:sz w:val="16"/>
              </w:rPr>
              <w:t>al. a), do n.º 5,</w:t>
              <w:br/>
              <w:t>do art.º 18.º</w:t>
            </w:r>
          </w:p>
        </w:tc>
        <w:tc>
          <w:tcPr>
            <w:tcW w:type="dxa" w:w="3118"/>
          </w:tcPr>
          <w:p>
            <w:pPr>
              <w:spacing w:before="0" w:after="20"/>
              <w:jc w:val="left"/>
            </w:pPr>
            <w:r>
              <w:rPr>
                <w:sz w:val="16"/>
              </w:rPr>
              <w:t>"tying up body parts, unless required for medical reasons and limited to the minimum period necessary"</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al. b), do n.º 5,</w:t>
              <w:br/>
              <w:t>do art.º 18.º</w:t>
            </w:r>
          </w:p>
        </w:tc>
        <w:tc>
          <w:tcPr>
            <w:tcW w:type="dxa" w:w="3118"/>
          </w:tcPr>
          <w:p>
            <w:pPr>
              <w:spacing w:before="0" w:after="20"/>
              <w:jc w:val="left"/>
            </w:pPr>
            <w:r>
              <w:rPr>
                <w:sz w:val="16"/>
              </w:rPr>
              <w:t>"the kicking, hitting, dragging, throwing or squeezing of dogs or cats"</w:t>
            </w:r>
          </w:p>
        </w:tc>
        <w:tc>
          <w:tcPr>
            <w:tcW w:type="dxa" w:w="2438"/>
          </w:tcPr>
          <w:p>
            <w:pPr>
              <w:spacing w:before="0" w:after="20"/>
              <w:jc w:val="left"/>
            </w:pPr>
            <w:r>
              <w:rPr>
                <w:sz w:val="16"/>
              </w:rPr>
              <w:t>sem correspondência</w:t>
              <w:br/>
              <w:t>(proibição de maus-tratos implícita nas disposições gerais)</w:t>
            </w:r>
          </w:p>
        </w:tc>
        <w:tc>
          <w:tcPr>
            <w:tcW w:type="dxa" w:w="2438"/>
          </w:tcPr>
          <w:p>
            <w:pPr>
              <w:spacing w:before="0" w:after="20"/>
              <w:jc w:val="left"/>
            </w:pPr>
            <w:r>
              <w:rPr>
                <w:sz w:val="16"/>
              </w:rPr>
              <w:t>sem correspondência</w:t>
              <w:br/>
              <w:t>(proibição de maus-tratos implícita nas disposições gerais)</w:t>
            </w:r>
          </w:p>
        </w:tc>
      </w:tr>
      <w:tr>
        <w:tc>
          <w:tcPr>
            <w:tcW w:type="dxa" w:w="1417"/>
          </w:tcPr>
          <w:p>
            <w:pPr>
              <w:spacing w:before="0" w:after="20"/>
              <w:jc w:val="left"/>
            </w:pPr>
            <w:r>
              <w:rPr>
                <w:b/>
                <w:sz w:val="16"/>
              </w:rPr>
              <w:t>al. c), do n.º 5,</w:t>
              <w:br/>
              <w:t>do art.º 18.º</w:t>
            </w:r>
          </w:p>
        </w:tc>
        <w:tc>
          <w:tcPr>
            <w:tcW w:type="dxa" w:w="3118"/>
          </w:tcPr>
          <w:p>
            <w:pPr>
              <w:spacing w:before="0" w:after="20"/>
              <w:jc w:val="left"/>
            </w:pPr>
            <w:r>
              <w:rPr>
                <w:sz w:val="16"/>
              </w:rPr>
              <w:t>"applying electric current to dogs or cats, unless performed for medical reasons"</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al. d), do n.º 5,</w:t>
              <w:br/>
              <w:t>do art.º 18.º</w:t>
            </w:r>
          </w:p>
        </w:tc>
        <w:tc>
          <w:tcPr>
            <w:tcW w:type="dxa" w:w="3118"/>
          </w:tcPr>
          <w:p>
            <w:pPr>
              <w:spacing w:before="0" w:after="20"/>
              <w:jc w:val="left"/>
            </w:pPr>
            <w:r>
              <w:rPr>
                <w:sz w:val="16"/>
              </w:rPr>
              <w:t>"using muzzles, unless required for medical reasons or animal or human safety reasons, limited to the minimum period necessary and where the dog or cat is supervised"</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al. e), do n.º 5,</w:t>
              <w:br/>
              <w:t>do art.º 18.º</w:t>
            </w:r>
          </w:p>
        </w:tc>
        <w:tc>
          <w:tcPr>
            <w:tcW w:type="dxa" w:w="3118"/>
          </w:tcPr>
          <w:p>
            <w:pPr>
              <w:spacing w:before="0" w:after="20"/>
              <w:jc w:val="left"/>
            </w:pPr>
            <w:r>
              <w:rPr>
                <w:sz w:val="16"/>
              </w:rPr>
              <w:t>"using prong collars"</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al. f), do n.º 5,</w:t>
              <w:br/>
              <w:t>do art.º 18.º</w:t>
            </w:r>
          </w:p>
        </w:tc>
        <w:tc>
          <w:tcPr>
            <w:tcW w:type="dxa" w:w="3118"/>
          </w:tcPr>
          <w:p>
            <w:pPr>
              <w:spacing w:before="0" w:after="20"/>
              <w:jc w:val="left"/>
            </w:pPr>
            <w:r>
              <w:rPr>
                <w:sz w:val="16"/>
              </w:rPr>
              <w:t>"using choke collars without a safety stop"</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r>
        <w:tc>
          <w:tcPr>
            <w:tcW w:type="dxa" w:w="1417"/>
          </w:tcPr>
          <w:p>
            <w:pPr>
              <w:spacing w:before="0" w:after="20"/>
              <w:jc w:val="left"/>
            </w:pPr>
            <w:r>
              <w:rPr>
                <w:b/>
                <w:sz w:val="16"/>
              </w:rPr>
              <w:t>al. g), do n.º 5,</w:t>
              <w:br/>
              <w:t>do art.º 18.º</w:t>
            </w:r>
          </w:p>
        </w:tc>
        <w:tc>
          <w:tcPr>
            <w:tcW w:type="dxa" w:w="3118"/>
          </w:tcPr>
          <w:p>
            <w:pPr>
              <w:spacing w:before="0" w:after="20"/>
              <w:jc w:val="left"/>
            </w:pPr>
            <w:r>
              <w:rPr>
                <w:sz w:val="16"/>
              </w:rPr>
              <w:t>"lifting dogs or cats by the limbs"</w:t>
            </w:r>
          </w:p>
        </w:tc>
        <w:tc>
          <w:tcPr>
            <w:tcW w:type="dxa" w:w="2438"/>
          </w:tcPr>
          <w:p>
            <w:pPr>
              <w:spacing w:before="0" w:after="20"/>
              <w:jc w:val="left"/>
            </w:pPr>
            <w:r>
              <w:rPr>
                <w:sz w:val="16"/>
              </w:rPr>
              <w:t>sem correspondência</w:t>
            </w:r>
          </w:p>
        </w:tc>
        <w:tc>
          <w:tcPr>
            <w:tcW w:type="dxa" w:w="2438"/>
          </w:tcPr>
          <w:p>
            <w:pPr>
              <w:spacing w:before="0" w:after="20"/>
              <w:jc w:val="left"/>
            </w:pPr>
            <w:r>
              <w:rPr>
                <w:sz w:val="16"/>
              </w:rPr>
              <w:t>sem correspondência</w:t>
            </w:r>
          </w:p>
        </w:tc>
      </w:tr>
    </w:tbl>
    <w:p>
      <w:pPr>
        <w:spacing w:before="120"/>
      </w:pPr>
      <w:r>
        <w:rPr>
          <w:i/>
          <w:sz w:val="15"/>
        </w:rPr>
        <w:t>Nota: as letras al. e), f), g) do n.º 5 são inferidas da sequência da norma; o texto do comparativo_reuniao_exemplo.docx surge truncado a partir da al. d). O n.º 5 prevê uma lista não taxativa ("including") — podem existir outras práticas proibidas não enumeradas. Necessidade de alteração (todos os diplomas): Não — segundo as notas de divergência do comparativo_reuniao_exemplo.docx; ressalva: exigir expressamente anestesia e analgesia prolongada como condição das exceções (n.ºs 1 e 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