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Comparativo norma a norma — Art.º 21.º do Regulamento (UE) 2023/0447</w:t>
      </w:r>
    </w:p>
    <w:p>
      <w:pPr>
        <w:spacing w:after="40"/>
        <w:jc w:val="center"/>
      </w:pPr>
      <w:r>
        <w:rPr>
          <w:b/>
          <w:sz w:val="20"/>
        </w:rPr>
        <w:t>Requisitos de Publicidade em Linha e Colocação no Mercado</w:t>
      </w:r>
    </w:p>
    <w:p>
      <w:pPr>
        <w:spacing w:after="160"/>
        <w:jc w:val="center"/>
      </w:pPr>
      <w:r>
        <w:rPr>
          <w:i/>
          <w:sz w:val="15"/>
        </w:rPr>
        <w:t>@rgbeac: arts.º 91.º-95.º (proposta, jun. 2025)  ·  @codigo: arts.º 24.º, 62.º e 80.º (DL 214/2013)  ·  @legislacao: art.º 53.º (DL 276/2001) + DL 82/2019  ·  19/03/2026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Referência</w:t>
              <w:br/>
              <w:t>(@regulamento)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@regulamento (UE) 2023/0447</w:t>
              <w:br/>
              <w:t>texto EN verbatim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@rgbeac</w:t>
              <w:br/>
              <w:t>(proposta, jun. 2025)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@codigo</w:t>
              <w:br/>
              <w:t>(DL n.º 214/2013)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n.º 1 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"When operators advertise a dog or a cat online with a view to placing it on the Union market, they shall ensure that the following warning is included in the advertisement in clearly visible and bold characters:</w:t>
              <w:br/>
              <w:t>'An animal is not a toy. Getting one is a life-changing decision. It is your duty to ensure the animal's health and welfare and not to abandon it.'"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  <w:br/>
              <w:t>(art.º 92.º prevê requisitos de validade dos anúncios de transmissão, mas não impõe o aviso com o texto específico do @regulamento)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(art.º 80.º regula comércio, mas não prevê aviso obrigatório de detenção responsável com texto específico)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n.º 2 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"When natural or legal persons other than operators advertise a dog or a cat online with a view to placing it on the Union market, they shall ensure that a warning on responsible ownership is included in the advertisement using either the wording set out in paragraph 1, or a different wording with the same meaning."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(art.º 92.º aplica-se a operadores; sem extensão expressa a particulares)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(sem disposição sobre anúncios por particulares)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al. a), do n.º 3,</w:t>
              <w:br/>
              <w:t>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"proof of the identification and registration of the dog or cat in compliance with Article 20"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"O contrato de compra e venda deve integrar informação relativamente... a todo o historial clínico do animal, incluindo rastreios genéticos e despistes de doenças realizados"</w:t>
              <w:br/>
              <w:t>[n.º 3 do art.º 91.º do RGBEAC]</w:t>
              <w:br/>
              <w:t>[correspondência parcial — historial clínico previsto; prova de identificação/registo não explicitada como documento autónomo]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"os documentos referidos nas alíneas anteriores são entregues ao comprador": boletim sanitário/passaporte com identificação eletrónica e documento de registo em nome do criador</w:t>
              <w:br/>
              <w:t>[n.ºs 5-6 do art.º 80.º do DL 214/2013]</w:t>
              <w:br/>
              <w:t>[correspondência direta — documento de registo entregue ao comprador]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al. b), do n.º 3,</w:t>
              <w:br/>
              <w:t>do art.º 21.º</w:t>
              <w:br/>
              <w:t>[introdução]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b/>
                <w:i/>
                <w:sz w:val="16"/>
              </w:rPr>
              <w:t>the following information on the dog or cat: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b/>
                <w:i/>
                <w:sz w:val="16"/>
              </w:rPr>
              <w:t>[v. subalíneas infra]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b/>
                <w:i/>
                <w:sz w:val="16"/>
              </w:rPr>
              <w:t>[v. subalíneas infra]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al. b) (i), do n.º 3,</w:t>
              <w:br/>
              <w:t>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"its species"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al. b) (ii), do n.º 3,</w:t>
              <w:br/>
              <w:t>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"its sex"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al. b) (iii), do n.º 3,</w:t>
              <w:br/>
              <w:t>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"its date and country of birth"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"A idade dos animais"</w:t>
              <w:br/>
              <w:t>[al. a) do n.º 1 do art.º 53.º do DL 276/2001]</w:t>
              <w:br/>
              <w:t>[correspondência parcial — idade referida; data e país de nascimento não indicados]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al. b) (iv), do n.º 3,</w:t>
              <w:br/>
              <w:t>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"where relevant, its breed"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 expressa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"a indicação se é animal de raça pura ou indeterminada, sendo que, tratando-se de animal de raça pura, deve obrigatoriamente ser referido o número de registo no livro de origens português"</w:t>
              <w:br/>
              <w:t>[al. b) do n.º 1 do art.º 53.º do DL 276/2001]</w:t>
              <w:br/>
              <w:t>[correspondência parcial — raça prevista; obrigatoriedade mais restrita para raça pura]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N.º 3 do art.º 21.º</w:t>
              <w:br/>
              <w:t>[token único de</w:t>
              <w:br/>
              <w:t>verificação]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"Where a natural or legal person advertises a dog or cat online with a view to placing it on the Union market, that person shall use the system referred to in paragraph 5 to generate a unique verification token. That person shall include that token in the advertisement, along with a weblink to the system referred to in paragraph 5. The system shall enable acquirers to verify the authenticity of the identification, registration and ownership of dogs or cats advertised online."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(falta a implementação do sistema de verificação online com token único — identificado como lacuna nas notas de divergência do comparativo_reuniao_exemplo.docx)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(falta a implementação do sistema de verificação online com token único)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n.º 4 do art.º 21.º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Article, and in line with Article 31 of Regulation (EU) 2022/2065, and shall inform acquirers, in a visible manner, of the possibility to verify the authenticity of the identification..."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(sem disposição sobre obrigações de plataformas online)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sem correspondência</w:t>
              <w:br/>
              <w:t>(sem disposição sobre obrigações de plataformas online)</w:t>
            </w:r>
          </w:p>
        </w:tc>
      </w:tr>
      <w:tr>
        <w:tc>
          <w:tcPr>
            <w:tcW w:type="dxa" w:w="1417"/>
          </w:tcPr>
          <w:p>
            <w:pPr>
              <w:spacing w:before="0" w:after="20"/>
              <w:jc w:val="left"/>
            </w:pPr>
            <w:r>
              <w:rPr>
                <w:b/>
                <w:sz w:val="16"/>
              </w:rPr>
              <w:t>[Elementos específicos</w:t>
              <w:br/>
              <w:t>do @codigo e @legislacao</w:t>
              <w:br/>
              <w:t>sem paralelo no @regulamento]</w:t>
            </w:r>
          </w:p>
        </w:tc>
        <w:tc>
          <w:tcPr>
            <w:tcW w:type="dxa" w:w="311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[Não previsto no art.º 21.º do @regulamento]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"Número de animais da ninhada"</w:t>
              <w:br/>
              <w:t>[al. e) do n.º 1 do art.º 53.º do DL 276/2001]</w:t>
              <w:br/>
              <w:t>"Número de identificação eletrónica da cria e da fêmea reprodutora"</w:t>
              <w:br/>
              <w:t>[al. c) do n.º 1 do art.º 53.º]</w:t>
              <w:br/>
              <w:t>"Número de inscrição de criador"</w:t>
              <w:br/>
              <w:t>[al. d) do n.º 1 do art.º 53.º]</w:t>
              <w:br/>
              <w:t>"Proibição de venda a menores de 16 anos"</w:t>
              <w:br/>
              <w:t>[n.º 4 do art.º 80.º do DL 214/2013]</w:t>
            </w:r>
          </w:p>
        </w:tc>
        <w:tc>
          <w:tcPr>
            <w:tcW w:type="dxa" w:w="2438"/>
          </w:tcPr>
          <w:p>
            <w:pPr>
              <w:spacing w:before="0" w:after="20"/>
              <w:jc w:val="left"/>
            </w:pPr>
            <w:r>
              <w:rPr>
                <w:sz w:val="16"/>
              </w:rPr>
              <w:t>"Número de animais da ninhada; número de identificação eletrónica da cria e da fêmea reprodutora; número de inscrição de criador"</w:t>
              <w:br/>
              <w:t>[als. c)-e) do n.º 1 do art.º 53.º do DL n.º 276/2001]</w:t>
              <w:br/>
              <w:t>[estes requisitos são adicionais ao @regulamento e subsistem como obrigações nacionais complementares]</w:t>
            </w:r>
          </w:p>
        </w:tc>
      </w:tr>
    </w:tbl>
    <w:p>
      <w:pPr>
        <w:spacing w:before="120"/>
      </w:pPr>
      <w:r>
        <w:rPr>
          <w:i/>
          <w:sz w:val="15"/>
        </w:rPr>
        <w:t>Nota: o texto do art.º 92.º do @rgbeac (requisitos de validade do anúncio) surge truncado no comparativo_reuniao_exemplo.docx. O n.º 4 do art.º 21.º surge igualmente truncado; o texto foi completado com base no contexto da norma. Necessidade de alteração (todos os diplomas): Sim — sistema de verificação online com token único (referenciado nas notas de divergência do comparativo_reuniao_exemplo.docx como lacuna principal); aviso obrigatório com texto específico do n.º 1.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