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1.9</w:t>
            </w:r>
          </w:p>
        </w:tc>
      </w:tr>
      <w:tr>
        <w:tc>
          <w:tcPr>
            <w:tcW w:w="2551" w:type="dxa"/>
          </w:tcPr>
          <w:p>
            <w:pPr>
              <w:spacing w:after="60"/>
            </w:pPr>
            <w:r/>
            <w:r>
              <w:rPr>
                <w:b/>
                <w:sz w:val="20"/>
              </w:rPr>
              <w:t>Data</w:t>
            </w:r>
          </w:p>
        </w:tc>
        <w:tc>
          <w:tcPr>
            <w:tcW w:w="6520" w:type="dxa"/>
          </w:tcPr>
          <w:p>
            <w:pPr>
              <w:spacing w:after="60"/>
            </w:pPr>
            <w:r/>
            <w:r>
              <w:rPr>
                <w:b w:val="0"/>
                <w:sz w:val="20"/>
              </w:rPr>
              <w:t>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P-30, P-21, P-35, P-19, P-20, P-23, P-24, P-25, P-26, P-27, P-29, P-31, P-32, P-33, P-34, P-28, P-22.</w:t>
      </w:r>
    </w:p>
    <w:p>
      <w:r>
        <w:br w:type="page"/>
      </w:r>
    </w:p>
    <w:p>
      <w:pPr>
        <w:pStyle w:val="Heading1"/>
      </w:pPr>
      <w:r>
        <w:rPr>
          <w:i w:val="0"/>
          <w:color w:val="000000"/>
        </w:rPr>
        <w:t>3. Capítulo I. Disposições Gerais</w:t>
      </w:r>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36 fichas, das quais 32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(19)</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(17)</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pStyle w:val="Heading2"/>
      </w:pPr>
      <w:r>
        <w:rPr>
          <w:i w:val="0"/>
          <w:color w:val="000000"/>
        </w:rPr>
        <w:t>Identificação e registo (6)</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