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P-13, P-16, P-12, P-02, P-08, P-10, P-05, P-17, P-04, P-15,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P-30, P-21, P-35, P-19, P-20, P-23, P-24, P-25, P-26, P-27, P-29, P-31, P-32, P-33, P-34, P-28, P-22.</w:t>
      </w:r>
    </w:p>
    <w:p>
      <w:r>
        <w:br w:type="page"/>
      </w:r>
    </w:p>
    <w:p>
      <w:pPr>
        <w:pStyle w:val="Heading1"/>
      </w:pPr>
      <w:r>
        <w:rPr>
          <w:i w:val="0"/>
          <w:color w:val="000000"/>
        </w:rPr>
        <w:t>3. Capítulo I. Disposições Gerais</w:t>
      </w:r>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13</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30</w:t>
            </w:r>
          </w:p>
        </w:tc>
        <w:tc>
          <w:tcPr>
            <w:tcW w:w="1701" w:type="dxa"/>
          </w:tcPr>
          <w:p>
            <w:pPr>
              <w:spacing w:after="60"/>
            </w:pPr>
            <w:r/>
            <w:r>
              <w:rPr>
                <w:b/>
                <w:sz w:val="20"/>
              </w:rPr>
              <w:t>122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P-20, 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(18)</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(17)</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pStyle w:val="Heading2"/>
      </w:pPr>
      <w:r>
        <w:rPr>
          <w:i w:val="0"/>
          <w:color w:val="000000"/>
        </w:rPr>
        <w:t>Identificação e registo (6)</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(1)</w:t>
      </w:r>
    </w:p>
    <w:p>
      <w:pPr>
        <w:spacing w:after="20"/>
        <w:ind w:left="454"/>
      </w:pPr>
      <w:r>
        <w:rPr>
          <w:b w:val="0"/>
          <w:i w:val="0"/>
        </w:rPr>
        <w:t>P-12. Redação por decidir no art. 22.º (art. 22.º, cap. IV)</w:t>
      </w:r>
    </w:p>
    <w:p>
      <w:pPr>
        <w:pStyle w:val="Heading2"/>
      </w:pPr>
      <w:r>
        <w:rPr>
          <w:i w:val="0"/>
          <w:color w:val="000000"/>
        </w:rPr>
        <w:t>Fiscalização e contraordenações (2)</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