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289"/>
      </w:tblGrid>
      <w:tr w:rsidR="003F1BBD" w14:paraId="53A6C60B" w14:textId="77777777">
        <w:trPr>
          <w:jc w:val="center"/>
        </w:trPr>
        <w:tc>
          <w:tcPr>
            <w:tcW w:w="5000" w:type="pct"/>
            <w:vAlign w:val="center"/>
          </w:tcPr>
          <w:p w:rsidRPr="00C12D23" w:rsidR="00574C9B" w:rsidP="006125A1" w:rsidRDefault="00574C9B" w14:paraId="6588FEE0" w14:textId="77777777">
            <w:pPr>
              <w:jc w:val="center"/>
              <w:rPr>
                <w:b/>
                <w:sz w:val="72"/>
                <w:szCs w:val="72"/>
              </w:rPr>
            </w:pPr>
            <w:r>
              <w:rPr>
                <w:b/>
                <w:sz w:val="72"/>
              </w:rPr>
              <w:t>PARECER</w:t>
            </w:r>
          </w:p>
        </w:tc>
      </w:tr>
      <w:tr w:rsidR="003F1BBD" w14:paraId="200B49AA" w14:textId="77777777">
        <w:trPr>
          <w:trHeight w:val="567"/>
          <w:jc w:val="center"/>
        </w:trPr>
        <w:tc>
          <w:tcPr>
            <w:tcW w:w="5000" w:type="pct"/>
            <w:vAlign w:val="center"/>
          </w:tcPr>
          <w:p w:rsidRPr="00C12D23" w:rsidR="00574C9B" w:rsidP="006125A1" w:rsidRDefault="00574C9B" w14:paraId="400878B3" w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</w:rPr>
              <w:t>Comité Económico e Social Europeu</w:t>
            </w:r>
          </w:p>
        </w:tc>
      </w:tr>
      <w:tr w:rsidR="003F1BBD" w14:paraId="19C1FE2F" w14:textId="77777777">
        <w:trPr>
          <w:jc w:val="center"/>
        </w:trPr>
        <w:tc>
          <w:tcPr>
            <w:tcW w:w="5000" w:type="pct"/>
            <w:vAlign w:val="center"/>
          </w:tcPr>
          <w:p w:rsidRPr="00C12D23" w:rsidR="00574C9B" w:rsidP="006125A1" w:rsidRDefault="00EA546D" w14:paraId="6C15C20B" w14:textId="77777777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</w:rPr>
              <w:t>Regulamento relativo ao bem-estar dos cães e dos gatos e à respetiva rastreabilidade</w:t>
            </w:r>
          </w:p>
        </w:tc>
      </w:tr>
      <w:tr w:rsidR="003F1BBD" w14:paraId="5535916D" w14:textId="77777777">
        <w:trPr>
          <w:jc w:val="center"/>
        </w:trPr>
        <w:tc>
          <w:tcPr>
            <w:tcW w:w="5000" w:type="pct"/>
            <w:vAlign w:val="center"/>
          </w:tcPr>
          <w:p w:rsidRPr="00AD0DCE" w:rsidR="00574C9B" w:rsidP="006125A1" w:rsidRDefault="00574C9B" w14:paraId="424110FD" w14:textId="77777777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position w:val="24"/>
                <w:sz w:val="24"/>
                <w:szCs w:val="24"/>
              </w:rPr>
            </w:pPr>
            <w:r>
              <w:rPr>
                <w:sz w:val="24"/>
              </w:rPr>
              <w:t>_____________</w:t>
            </w:r>
          </w:p>
        </w:tc>
      </w:tr>
      <w:tr w:rsidR="003F1BBD" w14:paraId="3CA96811" w14:textId="77777777">
        <w:trPr>
          <w:jc w:val="center"/>
        </w:trPr>
        <w:tc>
          <w:tcPr>
            <w:tcW w:w="5000" w:type="pct"/>
            <w:vAlign w:val="center"/>
          </w:tcPr>
          <w:p w:rsidRPr="00AD0DCE" w:rsidR="00EA546D" w:rsidP="00EA546D" w:rsidRDefault="00EA546D" w14:paraId="0318E26F" w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</w:rPr>
              <w:t>Proposta de regulamento do Parlamento Europeu e do Conselho relativo ao bem-estar dos cães e dos gatos e à respetiva rastreabilidade</w:t>
            </w:r>
          </w:p>
          <w:p w:rsidRPr="00AD0DCE" w:rsidR="00574C9B" w:rsidP="00EA546D" w:rsidRDefault="00EA546D" w14:paraId="6CB37C03" w14:textId="4C8E54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</w:rPr>
              <w:t>[COM(2023) 769 final – 2023/0447 (COD)]</w:t>
            </w:r>
          </w:p>
        </w:tc>
      </w:tr>
      <w:tr w:rsidR="003F1BBD" w14:paraId="04071BF5" w14:textId="77777777">
        <w:trPr>
          <w:jc w:val="center"/>
        </w:trPr>
        <w:tc>
          <w:tcPr>
            <w:tcW w:w="5000" w:type="pct"/>
            <w:vAlign w:val="center"/>
          </w:tcPr>
          <w:p w:rsidRPr="00AD0DCE" w:rsidR="00574C9B" w:rsidP="006125A1" w:rsidRDefault="00574C9B" w14:paraId="4A0A3103" w14:textId="77777777">
            <w:pPr>
              <w:jc w:val="center"/>
              <w:rPr>
                <w:sz w:val="24"/>
                <w:szCs w:val="24"/>
                <w:lang w:val="en-GB"/>
              </w:rPr>
            </w:pPr>
          </w:p>
        </w:tc>
      </w:tr>
      <w:tr w:rsidR="003F1BBD" w14:paraId="5D8BC9CA" w14:textId="77777777">
        <w:trPr>
          <w:jc w:val="center"/>
        </w:trPr>
        <w:tc>
          <w:tcPr>
            <w:tcW w:w="5000" w:type="pct"/>
            <w:vAlign w:val="center"/>
          </w:tcPr>
          <w:p w:rsidRPr="00AD0DCE" w:rsidR="00574C9B" w:rsidP="006125A1" w:rsidRDefault="00EA546D" w14:paraId="1FC82DA5" w14:textId="7777777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</w:rPr>
              <w:t>NAT/922</w:t>
            </w:r>
          </w:p>
        </w:tc>
      </w:tr>
      <w:tr w:rsidR="003F1BBD" w14:paraId="7D45F2F6" w14:textId="77777777">
        <w:trPr>
          <w:jc w:val="center"/>
        </w:trPr>
        <w:tc>
          <w:tcPr>
            <w:tcW w:w="5000" w:type="pct"/>
            <w:vAlign w:val="center"/>
          </w:tcPr>
          <w:p w:rsidRPr="00AD0DCE" w:rsidR="00574C9B" w:rsidP="006125A1" w:rsidRDefault="00574C9B" w14:paraId="56C922B9" w14:textId="77777777">
            <w:pPr>
              <w:jc w:val="center"/>
              <w:rPr>
                <w:sz w:val="24"/>
                <w:szCs w:val="24"/>
                <w:lang w:val="en-GB"/>
              </w:rPr>
            </w:pPr>
          </w:p>
        </w:tc>
      </w:tr>
      <w:tr w:rsidR="003F1BBD" w14:paraId="716C34BB" w14:textId="77777777">
        <w:trPr>
          <w:jc w:val="center"/>
        </w:trPr>
        <w:tc>
          <w:tcPr>
            <w:tcW w:w="5000" w:type="pct"/>
            <w:vAlign w:val="center"/>
          </w:tcPr>
          <w:p w:rsidRPr="00AD0DCE" w:rsidR="00574C9B" w:rsidP="006125A1" w:rsidRDefault="00574C9B" w14:paraId="7F86CCD0" w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Relator: </w:t>
            </w:r>
            <w:r>
              <w:rPr>
                <w:b/>
                <w:sz w:val="24"/>
              </w:rPr>
              <w:t>Maciej Dawid Kunysz</w:t>
            </w:r>
          </w:p>
        </w:tc>
      </w:tr>
      <w:tr w:rsidR="003F1BBD" w14:paraId="4A36697B" w14:textId="77777777">
        <w:trPr>
          <w:jc w:val="center"/>
        </w:trPr>
        <w:tc>
          <w:tcPr>
            <w:tcW w:w="5000" w:type="pct"/>
            <w:vAlign w:val="center"/>
          </w:tcPr>
          <w:p w:rsidRPr="00AD0DCE" w:rsidR="00CB7CD0" w:rsidP="006125A1" w:rsidRDefault="00CB7CD0" w14:paraId="5F2FDCCC" w14:textId="77777777">
            <w:pPr>
              <w:jc w:val="center"/>
              <w:rPr>
                <w:sz w:val="24"/>
                <w:szCs w:val="24"/>
                <w:lang w:val="en-GB"/>
              </w:rPr>
            </w:pPr>
          </w:p>
        </w:tc>
      </w:tr>
    </w:tbl>
    <w:p w:rsidRPr="00C12D23" w:rsidR="00574C9B" w:rsidP="00574C9B" w:rsidRDefault="00574C9B" w14:paraId="247978B0" w14:textId="77777777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editId="07BDB954" wp14:anchorId="7AB4DE36">
                <wp:simplePos x="0" y="0"/>
                <wp:positionH relativeFrom="rightMargin">
                  <wp:posOffset>-201930</wp:posOffset>
                </wp:positionH>
                <wp:positionV relativeFrom="page">
                  <wp:posOffset>9486900</wp:posOffset>
                </wp:positionV>
                <wp:extent cx="741600" cy="432000"/>
                <wp:effectExtent l="0" t="0" r="0" b="6350"/>
                <wp:wrapNone/>
                <wp:docPr id="2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1600" cy="43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4C9B" w:rsidP="00574C9B" w:rsidRDefault="00574C9B" w14:paraId="228A4D25" w14:textId="77777777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sz w:val="48"/>
                              </w:rPr>
                              <w:t>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AB4DE36">
                <v:stroke joinstyle="miter"/>
                <v:path gradientshapeok="t" o:connecttype="rect"/>
              </v:shapetype>
              <v:shape id="Text Box 17" style="position:absolute;left:0;text-align:left;margin-left:-15.9pt;margin-top:747pt;width:58.4pt;height:34pt;z-index:-251657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page;mso-height-relative:page;v-text-anchor:top" o:spid="_x0000_s1026" o:allowincell="f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">
                <v:textbox>
                  <w:txbxContent>
                    <w:p w:rsidR="00574C9B" w:rsidP="00574C9B" w:rsidRDefault="00574C9B" w14:paraId="228A4D25" w14:textId="77777777">
                      <w:pPr>
                        <w:jc w:val="center"/>
                      </w:pPr>
                      <w:r>
                        <w:rPr>
                          <w:rFonts w:ascii="Arial" w:hAnsi="Arial"/>
                          <w:b/>
                          <w:sz w:val="48"/>
                        </w:rPr>
                        <w:t>PT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Pr="00C12D23" w:rsidR="00574C9B" w:rsidP="00574C9B" w:rsidRDefault="00574C9B" w14:paraId="6317CC15" w14:textId="77777777">
      <w:pPr>
        <w:rPr>
          <w:lang w:val="en-GB"/>
        </w:rPr>
      </w:pPr>
    </w:p>
    <w:p w:rsidRPr="00C12D23" w:rsidR="00574C9B" w:rsidP="00574C9B" w:rsidRDefault="00574C9B" w14:paraId="22FD1ACC" w14:textId="77777777">
      <w:pPr>
        <w:rPr>
          <w:lang w:val="en-GB"/>
        </w:rPr>
        <w:sectPr w:rsidRPr="00C12D23" w:rsidR="00574C9B" w:rsidSect="007C7B3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 w:code="9"/>
          <w:pgMar w:top="5669" w:right="1417" w:bottom="1417" w:left="1417" w:header="709" w:footer="709" w:gutter="0"/>
          <w:cols w:space="720"/>
          <w:docGrid w:linePitch="360"/>
        </w:sectPr>
      </w:pPr>
    </w:p>
    <w:tbl>
      <w:tblPr>
        <w:tblpPr w:leftFromText="181" w:rightFromText="181" w:tblpYSpec="bottom"/>
        <w:tblOverlap w:val="never"/>
        <w:tblW w:w="9289" w:type="dxa"/>
        <w:tblLayout w:type="fixed"/>
        <w:tblLook w:val="04A0" w:firstRow="1" w:lastRow="0" w:firstColumn="1" w:lastColumn="0" w:noHBand="0" w:noVBand="1"/>
      </w:tblPr>
      <w:tblGrid>
        <w:gridCol w:w="3085"/>
        <w:gridCol w:w="6204"/>
      </w:tblGrid>
      <w:tr w:rsidR="003F1BBD" w14:paraId="365D7159" w14:textId="77777777">
        <w:tc>
          <w:tcPr>
            <w:tcW w:w="3085" w:type="dxa"/>
          </w:tcPr>
          <w:p w:rsidRPr="00C12D23" w:rsidR="00AC5114" w:rsidP="00E15BF4" w:rsidRDefault="00AC5114" w14:paraId="62F9BD6D" w14:textId="77777777">
            <w:pPr>
              <w:autoSpaceDE w:val="0"/>
              <w:autoSpaceDN w:val="0"/>
              <w:jc w:val="left"/>
            </w:pPr>
            <w:r>
              <w:lastRenderedPageBreak/>
              <w:t>Consulta</w:t>
            </w:r>
          </w:p>
        </w:tc>
        <w:tc>
          <w:tcPr>
            <w:tcW w:w="6204" w:type="dxa"/>
            <w:vAlign w:val="bottom"/>
          </w:tcPr>
          <w:p w:rsidRPr="00C12D23" w:rsidR="00AC5114" w:rsidP="0058411F" w:rsidRDefault="00EA546D" w14:paraId="21E4FD14" w14:textId="77777777">
            <w:pPr>
              <w:autoSpaceDE w:val="0"/>
              <w:autoSpaceDN w:val="0"/>
              <w:jc w:val="left"/>
            </w:pPr>
            <w:r>
              <w:t>Parlamento Europeu, 25/01/2024</w:t>
            </w:r>
          </w:p>
          <w:p w:rsidRPr="00C12D23" w:rsidR="00EA546D" w:rsidP="0058411F" w:rsidRDefault="00EA546D" w14:paraId="68CDB31E" w14:textId="572FDC16">
            <w:pPr>
              <w:autoSpaceDE w:val="0"/>
              <w:autoSpaceDN w:val="0"/>
              <w:jc w:val="left"/>
            </w:pPr>
            <w:r>
              <w:t xml:space="preserve">Conselho, </w:t>
            </w:r>
            <w:r w:rsidR="001E6645">
              <w:t>0</w:t>
            </w:r>
            <w:r>
              <w:t>1/</w:t>
            </w:r>
            <w:r w:rsidR="001E6645">
              <w:t>0</w:t>
            </w:r>
            <w:r>
              <w:t>2/2024</w:t>
            </w:r>
          </w:p>
        </w:tc>
      </w:tr>
      <w:tr w:rsidR="003F1BBD" w14:paraId="24A061F2" w14:textId="77777777">
        <w:tc>
          <w:tcPr>
            <w:tcW w:w="3085" w:type="dxa"/>
          </w:tcPr>
          <w:p w:rsidRPr="00C12D23" w:rsidR="00AC5114" w:rsidP="0058411F" w:rsidRDefault="00AC5114" w14:paraId="39D228F1" w14:textId="77777777">
            <w:pPr>
              <w:autoSpaceDE w:val="0"/>
              <w:autoSpaceDN w:val="0"/>
              <w:jc w:val="left"/>
              <w:rPr>
                <w:szCs w:val="20"/>
              </w:rPr>
            </w:pPr>
            <w:r>
              <w:t>Base jurídica</w:t>
            </w:r>
          </w:p>
        </w:tc>
        <w:tc>
          <w:tcPr>
            <w:tcW w:w="6204" w:type="dxa"/>
            <w:vAlign w:val="bottom"/>
          </w:tcPr>
          <w:p w:rsidRPr="00C12D23" w:rsidR="00AC5114" w:rsidP="0058411F" w:rsidRDefault="006C56B3" w14:paraId="4E797593" w14:textId="77777777">
            <w:pPr>
              <w:autoSpaceDE w:val="0"/>
              <w:autoSpaceDN w:val="0"/>
              <w:jc w:val="left"/>
              <w:rPr>
                <w:szCs w:val="20"/>
              </w:rPr>
            </w:pPr>
            <w:r>
              <w:t>Artigos 43.º, n.º 2, 114.º e 304.º do Tratado sobre o Funcionamento da União Europeia</w:t>
            </w:r>
          </w:p>
        </w:tc>
      </w:tr>
      <w:tr w:rsidR="003F1BBD" w14:paraId="2DF85600" w14:textId="77777777">
        <w:tc>
          <w:tcPr>
            <w:tcW w:w="3085" w:type="dxa"/>
          </w:tcPr>
          <w:p w:rsidRPr="00C12D23" w:rsidR="006C56B3" w:rsidP="006C56B3" w:rsidRDefault="006C56B3" w14:paraId="37DA36B7" w14:textId="77777777">
            <w:pPr>
              <w:autoSpaceDE w:val="0"/>
              <w:autoSpaceDN w:val="0"/>
              <w:jc w:val="left"/>
            </w:pPr>
            <w:r>
              <w:t>Competência</w:t>
            </w:r>
          </w:p>
        </w:tc>
        <w:tc>
          <w:tcPr>
            <w:tcW w:w="6204" w:type="dxa"/>
          </w:tcPr>
          <w:p w:rsidRPr="00C12D23" w:rsidR="006C56B3" w:rsidP="006C56B3" w:rsidRDefault="006C56B3" w14:paraId="4971CDFE" w14:textId="77777777">
            <w:pPr>
              <w:autoSpaceDE w:val="0"/>
              <w:autoSpaceDN w:val="0"/>
              <w:jc w:val="left"/>
            </w:pPr>
            <w:r>
              <w:t>Secção da Agricultura, Desenvolvimento Rural e Ambiente</w:t>
            </w:r>
          </w:p>
        </w:tc>
      </w:tr>
      <w:tr w:rsidR="003F1BBD" w14:paraId="1531FFAF" w14:textId="77777777">
        <w:tc>
          <w:tcPr>
            <w:tcW w:w="3085" w:type="dxa"/>
          </w:tcPr>
          <w:p w:rsidRPr="00C12D23" w:rsidR="006C56B3" w:rsidP="006C56B3" w:rsidRDefault="006C56B3" w14:paraId="2B0817D7" w14:textId="77777777">
            <w:pPr>
              <w:autoSpaceDE w:val="0"/>
              <w:autoSpaceDN w:val="0"/>
              <w:jc w:val="left"/>
            </w:pPr>
            <w:r>
              <w:t>Adoção em secção</w:t>
            </w:r>
          </w:p>
        </w:tc>
        <w:tc>
          <w:tcPr>
            <w:tcW w:w="6204" w:type="dxa"/>
            <w:vAlign w:val="bottom"/>
          </w:tcPr>
          <w:p w:rsidRPr="00C12D23" w:rsidR="006C56B3" w:rsidP="006C56B3" w:rsidRDefault="006C56B3" w14:paraId="708764C6" w14:textId="77777777">
            <w:pPr>
              <w:autoSpaceDE w:val="0"/>
              <w:autoSpaceDN w:val="0"/>
              <w:jc w:val="left"/>
            </w:pPr>
            <w:r>
              <w:t>26/02/2024</w:t>
            </w:r>
          </w:p>
        </w:tc>
      </w:tr>
      <w:tr w:rsidR="003F1BBD" w14:paraId="5EC454F0" w14:textId="77777777">
        <w:tc>
          <w:tcPr>
            <w:tcW w:w="3085" w:type="dxa"/>
          </w:tcPr>
          <w:p w:rsidRPr="00C12D23" w:rsidR="006C56B3" w:rsidP="006C56B3" w:rsidRDefault="006C56B3" w14:paraId="3A2AAAE0" w14:textId="77777777">
            <w:pPr>
              <w:autoSpaceDE w:val="0"/>
              <w:autoSpaceDN w:val="0"/>
              <w:jc w:val="left"/>
            </w:pPr>
            <w:r>
              <w:t>Adoção em plenária</w:t>
            </w:r>
          </w:p>
        </w:tc>
        <w:tc>
          <w:tcPr>
            <w:tcW w:w="6204" w:type="dxa"/>
            <w:vAlign w:val="bottom"/>
          </w:tcPr>
          <w:p w:rsidRPr="00C12D23" w:rsidR="006C56B3" w:rsidP="006C56B3" w:rsidRDefault="00BB057E" w14:paraId="11EA2619" w14:textId="77777777">
            <w:pPr>
              <w:autoSpaceDE w:val="0"/>
              <w:autoSpaceDN w:val="0"/>
              <w:jc w:val="left"/>
            </w:pPr>
            <w:r>
              <w:t>21/03/2024</w:t>
            </w:r>
          </w:p>
        </w:tc>
      </w:tr>
      <w:tr w:rsidR="003F1BBD" w14:paraId="6D646D8B" w14:textId="77777777">
        <w:tc>
          <w:tcPr>
            <w:tcW w:w="3085" w:type="dxa"/>
          </w:tcPr>
          <w:p w:rsidRPr="00C12D23" w:rsidR="006C56B3" w:rsidP="006C56B3" w:rsidRDefault="006C56B3" w14:paraId="2CFB5C72" w14:textId="77777777">
            <w:pPr>
              <w:autoSpaceDE w:val="0"/>
              <w:autoSpaceDN w:val="0"/>
              <w:jc w:val="left"/>
            </w:pPr>
            <w:r>
              <w:t>Reunião plenária n.º</w:t>
            </w:r>
          </w:p>
        </w:tc>
        <w:tc>
          <w:tcPr>
            <w:tcW w:w="6204" w:type="dxa"/>
            <w:vAlign w:val="bottom"/>
          </w:tcPr>
          <w:p w:rsidRPr="00C12D23" w:rsidR="006C56B3" w:rsidP="006C56B3" w:rsidRDefault="00BB057E" w14:paraId="42165269" w14:textId="77777777">
            <w:pPr>
              <w:autoSpaceDE w:val="0"/>
              <w:autoSpaceDN w:val="0"/>
              <w:jc w:val="left"/>
            </w:pPr>
            <w:r>
              <w:t>586</w:t>
            </w:r>
          </w:p>
        </w:tc>
      </w:tr>
      <w:tr w:rsidR="003F1BBD" w14:paraId="25CB9018" w14:textId="77777777">
        <w:tc>
          <w:tcPr>
            <w:tcW w:w="3085" w:type="dxa"/>
          </w:tcPr>
          <w:p w:rsidRPr="00C12D23" w:rsidR="006C56B3" w:rsidP="006C56B3" w:rsidRDefault="006C56B3" w14:paraId="40CB60D0" w14:textId="77777777">
            <w:pPr>
              <w:autoSpaceDE w:val="0"/>
              <w:autoSpaceDN w:val="0"/>
              <w:jc w:val="left"/>
            </w:pPr>
            <w:r>
              <w:t>Resultado da votação</w:t>
            </w:r>
            <w:r>
              <w:br/>
              <w:t>(votos a favor/votos contra/abstenções)</w:t>
            </w:r>
          </w:p>
        </w:tc>
        <w:tc>
          <w:tcPr>
            <w:tcW w:w="6204" w:type="dxa"/>
            <w:vAlign w:val="bottom"/>
          </w:tcPr>
          <w:p w:rsidRPr="00C12D23" w:rsidR="006C56B3" w:rsidP="006C56B3" w:rsidRDefault="0064453E" w14:paraId="554DD404" w14:textId="434A6B5F">
            <w:pPr>
              <w:autoSpaceDE w:val="0"/>
              <w:autoSpaceDN w:val="0"/>
              <w:jc w:val="left"/>
            </w:pPr>
            <w:r>
              <w:t>174/2/7</w:t>
            </w:r>
          </w:p>
        </w:tc>
      </w:tr>
    </w:tbl>
    <w:p w:rsidRPr="00C12D23" w:rsidR="00AC5114" w:rsidP="00574C9B" w:rsidRDefault="00AC5114" w14:paraId="0D63BF1D" w14:textId="77777777">
      <w:pPr>
        <w:rPr>
          <w:lang w:val="en-GB"/>
        </w:rPr>
      </w:pPr>
    </w:p>
    <w:p w:rsidRPr="00C12D23" w:rsidR="00AC5114" w:rsidP="00574C9B" w:rsidRDefault="00AC5114" w14:paraId="46A77F92" w14:textId="77777777">
      <w:pPr>
        <w:rPr>
          <w:lang w:val="en-GB"/>
        </w:rPr>
        <w:sectPr w:rsidRPr="00C12D23" w:rsidR="00AC5114" w:rsidSect="007C7B31">
          <w:headerReference w:type="even" r:id="rId17"/>
          <w:headerReference w:type="default" r:id="rId18"/>
          <w:footerReference w:type="default" r:id="rId19"/>
          <w:headerReference w:type="first" r:id="rId20"/>
          <w:pgSz w:w="11907" w:h="16839" w:code="9"/>
          <w:pgMar w:top="5669" w:right="1418" w:bottom="1418" w:left="1418" w:header="709" w:footer="709" w:gutter="0"/>
          <w:cols w:space="720"/>
          <w:docGrid w:linePitch="360"/>
        </w:sectPr>
      </w:pPr>
    </w:p>
    <w:p w:rsidRPr="00830130" w:rsidR="00802F15" w:rsidP="00802F15" w:rsidRDefault="00802F15" w14:paraId="22D5DB2F" w14:textId="77777777">
      <w:pPr>
        <w:pStyle w:val="Heading1"/>
        <w:keepNext/>
        <w:overflowPunct w:val="0"/>
        <w:autoSpaceDE w:val="0"/>
        <w:autoSpaceDN w:val="0"/>
        <w:adjustRightInd w:val="0"/>
        <w:textAlignment w:val="baseline"/>
        <w:rPr>
          <w:b/>
        </w:rPr>
      </w:pPr>
      <w:r>
        <w:rPr>
          <w:b/>
        </w:rPr>
        <w:lastRenderedPageBreak/>
        <w:t>Conclusões e recomendações</w:t>
      </w:r>
    </w:p>
    <w:p w:rsidRPr="00830130" w:rsidR="00802F15" w:rsidP="00802F15" w:rsidRDefault="00802F15" w14:paraId="01465712" w14:textId="77777777">
      <w:pPr>
        <w:keepNext/>
        <w:rPr>
          <w:lang w:val="en-GB"/>
        </w:rPr>
      </w:pPr>
    </w:p>
    <w:p w:rsidRPr="00830130" w:rsidR="00802F15" w:rsidP="00802F15" w:rsidRDefault="00802F15" w14:paraId="0286FB79" w14:textId="77777777">
      <w:pPr>
        <w:pStyle w:val="Heading2"/>
        <w:overflowPunct w:val="0"/>
        <w:autoSpaceDE w:val="0"/>
        <w:autoSpaceDN w:val="0"/>
        <w:adjustRightInd w:val="0"/>
        <w:textAlignment w:val="baseline"/>
      </w:pPr>
      <w:r>
        <w:t>O CESE congratula-se vivamente com as medidas adotadas pela UE para promover o bem-estar dos cães e dos gatos e a respetiva rastreabilidade. Após análise da proposta de regulamento apresentada pela Comissão, conclui-se que o problema é complexo e multidimensional. A introdução de normas e requisitos uniformes a nível da UE constitui um passo na direção certa, mas será fundamental encontrar um equilíbrio entre os benefícios da proposta e os desafios que coloca. É essencial promover a cooperação entre os Estados-Membros, as partes interessadas e as organizações não governamentais (ONG), a fim de alcançar eficazmente os objetivos da proposta e assegurar mudanças positivas a longo prazo no bem-estar dos animais de companhia na Europa.</w:t>
      </w:r>
    </w:p>
    <w:p w:rsidRPr="00830130" w:rsidR="00802F15" w:rsidP="00802F15" w:rsidRDefault="00802F15" w14:paraId="0F6A11B3" w14:textId="77777777">
      <w:pPr>
        <w:rPr>
          <w:lang w:val="en-GB"/>
        </w:rPr>
      </w:pPr>
    </w:p>
    <w:p w:rsidRPr="00830130" w:rsidR="00802F15" w:rsidP="00802F15" w:rsidRDefault="00802F15" w14:paraId="7335BC9A" w14:textId="77777777">
      <w:pPr>
        <w:pStyle w:val="Heading2"/>
        <w:overflowPunct w:val="0"/>
        <w:autoSpaceDE w:val="0"/>
        <w:autoSpaceDN w:val="0"/>
        <w:adjustRightInd w:val="0"/>
        <w:textAlignment w:val="baseline"/>
      </w:pPr>
      <w:r>
        <w:t>O Comité salienta que é fundamental desenvolver sistemas de identificação e registo para melhorar o bem-estar dos cães e dos gatos, uma vez que esses sistemas facilitam a rastreabilidade da origem dos animais e do seu historial sanitário. A adoção em cada país de requisitos uniformes nesta matéria ajudará a combater o comércio ilegal e contribuirá para melhorar o acompanhamento das deslocações de animais entre os Estados-Membros da UE. Segundo o CESE, importa ponderar diferentes métodos de identificação, nomeadamente circuitos integrados e passaportes para animais, que assegurarão um acesso fácil à informação sobre o animal e o seu estatuto sanitário.</w:t>
      </w:r>
    </w:p>
    <w:p w:rsidRPr="00830130" w:rsidR="00802F15" w:rsidP="00802F15" w:rsidRDefault="00802F15" w14:paraId="6F9156D1" w14:textId="77777777">
      <w:pPr>
        <w:rPr>
          <w:lang w:val="en-GB"/>
        </w:rPr>
      </w:pPr>
    </w:p>
    <w:p w:rsidRPr="00830130" w:rsidR="00802F15" w:rsidP="00802F15" w:rsidRDefault="00802F15" w14:paraId="35BC83B1" w14:textId="77777777">
      <w:pPr>
        <w:pStyle w:val="Heading2"/>
        <w:overflowPunct w:val="0"/>
        <w:autoSpaceDE w:val="0"/>
        <w:autoSpaceDN w:val="0"/>
        <w:adjustRightInd w:val="0"/>
        <w:textAlignment w:val="baseline"/>
      </w:pPr>
      <w:r>
        <w:t>O CESE salienta que o regulamento em apreço tem um impacto significativo no mercado dos animais de companhia, uma vez que aumentará potencialmente os custos dos criadores e vendedores, que terão de se adaptar aos novos requisitos. A Comissão Europeia deve fazer tudo o que estiver ao seu alcance para que esses custos adicionais sejam considerados como um investimento na segurança e no bem-estar dos animais, assim como na proteção dos consumidores.</w:t>
      </w:r>
    </w:p>
    <w:p w:rsidRPr="00830130" w:rsidR="00802F15" w:rsidP="00802F15" w:rsidRDefault="00802F15" w14:paraId="1C14E935" w14:textId="77777777">
      <w:pPr>
        <w:rPr>
          <w:lang w:val="en-GB"/>
        </w:rPr>
      </w:pPr>
    </w:p>
    <w:p w:rsidRPr="00830130" w:rsidR="00802F15" w:rsidP="00802F15" w:rsidRDefault="00802F15" w14:paraId="694349CD" w14:textId="77777777">
      <w:pPr>
        <w:pStyle w:val="Heading2"/>
        <w:overflowPunct w:val="0"/>
        <w:autoSpaceDE w:val="0"/>
        <w:autoSpaceDN w:val="0"/>
        <w:adjustRightInd w:val="0"/>
        <w:textAlignment w:val="baseline"/>
      </w:pPr>
      <w:r>
        <w:t>O regulamento deverá aumentar a transparência e a segurança dos consumidores quanto à origem e ao estatuto sanitário dos animais comprados e contribuir para uma maior confiança no mercado dos animais de companhia.</w:t>
      </w:r>
    </w:p>
    <w:p w:rsidRPr="00830130" w:rsidR="00802F15" w:rsidP="00802F15" w:rsidRDefault="00802F15" w14:paraId="55733C7A" w14:textId="77777777">
      <w:pPr>
        <w:rPr>
          <w:lang w:val="en-GB"/>
        </w:rPr>
      </w:pPr>
    </w:p>
    <w:p w:rsidRPr="00830130" w:rsidR="00802F15" w:rsidP="00802F15" w:rsidRDefault="00802F15" w14:paraId="40E3E997" w14:textId="77777777">
      <w:pPr>
        <w:pStyle w:val="Heading2"/>
        <w:overflowPunct w:val="0"/>
        <w:autoSpaceDE w:val="0"/>
        <w:autoSpaceDN w:val="0"/>
        <w:adjustRightInd w:val="0"/>
        <w:textAlignment w:val="baseline"/>
      </w:pPr>
      <w:r>
        <w:t>A não regulamentação do comércio de cães e gatos conduz a inúmeros problemas, que se prendem nomeadamente com o bem-estar dos animais, os riscos para a saúde humana e a competitividade do mercado interno da União. A proposta de regulamento deve visar reduzir o comércio ilegal através da adoção de requisitos rigorosos para os criadores e vendedores, nomeadamente em matéria de concessão de licenças, registo e cumprimento de determinadas normas de bem-estar, incluindo a esterilização obrigatória, que é a única solução duradoura para travar o fenómeno dos animais de companhia vadios. Além disso, a melhoria da transparência e da rastreabilidade dos animais tem de visar proteger os consumidores de comprarem inadvertidamente animais de origem ilegal. O CESE solicita que se estabeleçam regras mínimas relativas às sanções aplicáveis em caso de violação do disposto no regulamento.</w:t>
      </w:r>
    </w:p>
    <w:p w:rsidRPr="00830130" w:rsidR="00802F15" w:rsidP="00802F15" w:rsidRDefault="00802F15" w14:paraId="02851476" w14:textId="77777777">
      <w:pPr>
        <w:pStyle w:val="Heading2"/>
        <w:numPr>
          <w:ilvl w:val="0"/>
          <w:numId w:val="0"/>
        </w:numPr>
        <w:rPr>
          <w:lang w:val="en-GB"/>
        </w:rPr>
      </w:pPr>
    </w:p>
    <w:p w:rsidRPr="00830130" w:rsidR="00802F15" w:rsidP="00802F15" w:rsidRDefault="00802F15" w14:paraId="466E94BC" w14:textId="77777777">
      <w:pPr>
        <w:pStyle w:val="Heading2"/>
        <w:overflowPunct w:val="0"/>
        <w:autoSpaceDE w:val="0"/>
        <w:autoSpaceDN w:val="0"/>
        <w:adjustRightInd w:val="0"/>
        <w:textAlignment w:val="baseline"/>
      </w:pPr>
      <w:r>
        <w:t>Na aplicação da nova legislação, o Comité recomenda que se preste especial atenção ao apoio e à educação dos criadores e vendedores, a fim de facilitar a sua adaptação aos novos requisitos.</w:t>
      </w:r>
    </w:p>
    <w:p w:rsidRPr="00830130" w:rsidR="00802F15" w:rsidP="00802F15" w:rsidRDefault="00802F15" w14:paraId="1B4CCE09" w14:textId="77777777">
      <w:pPr>
        <w:rPr>
          <w:lang w:val="en-GB"/>
        </w:rPr>
      </w:pPr>
    </w:p>
    <w:p w:rsidRPr="00830130" w:rsidR="00802F15" w:rsidP="00802F15" w:rsidRDefault="00802F15" w14:paraId="6C8902AA" w14:textId="77777777">
      <w:pPr>
        <w:pStyle w:val="Heading2"/>
        <w:overflowPunct w:val="0"/>
        <w:autoSpaceDE w:val="0"/>
        <w:autoSpaceDN w:val="0"/>
        <w:adjustRightInd w:val="0"/>
        <w:textAlignment w:val="baseline"/>
      </w:pPr>
      <w:r>
        <w:lastRenderedPageBreak/>
        <w:t>O CESE chama a atenção para a necessidade de reforçar a cooperação internacional em matéria de intercâmbio de informações, boas práticas e operações conjuntas para combater o comércio ilegal de animais. A participação da Interpol, das ONG e das redes sociais será crucial nesta matéria.</w:t>
      </w:r>
    </w:p>
    <w:p w:rsidRPr="00830130" w:rsidR="00802F15" w:rsidP="00802F15" w:rsidRDefault="00802F15" w14:paraId="5F3813F7" w14:textId="77777777">
      <w:pPr>
        <w:rPr>
          <w:lang w:val="en-GB"/>
        </w:rPr>
      </w:pPr>
    </w:p>
    <w:p w:rsidRPr="00830130" w:rsidR="00802F15" w:rsidP="00802F15" w:rsidRDefault="00802F15" w14:paraId="0562CD44" w14:textId="77777777">
      <w:pPr>
        <w:pStyle w:val="Heading2"/>
        <w:overflowPunct w:val="0"/>
        <w:autoSpaceDE w:val="0"/>
        <w:autoSpaceDN w:val="0"/>
        <w:adjustRightInd w:val="0"/>
        <w:textAlignment w:val="baseline"/>
      </w:pPr>
      <w:r>
        <w:t>Além disso, o CESE salienta que será fundamental assegurar recursos adequados para os sistemas de identificação e registo, para que sejam eficazes e acessíveis a todas as partes interessadas.</w:t>
      </w:r>
    </w:p>
    <w:p w:rsidRPr="00830130" w:rsidR="00802F15" w:rsidP="00802F15" w:rsidRDefault="00802F15" w14:paraId="3A6957B6" w14:textId="77777777">
      <w:pPr>
        <w:rPr>
          <w:lang w:val="en-GB"/>
        </w:rPr>
      </w:pPr>
    </w:p>
    <w:p w:rsidRPr="00830130" w:rsidR="00802F15" w:rsidP="00802F15" w:rsidRDefault="00802F15" w14:paraId="7656A8D2" w14:textId="77777777">
      <w:pPr>
        <w:pStyle w:val="Heading2"/>
        <w:overflowPunct w:val="0"/>
        <w:autoSpaceDE w:val="0"/>
        <w:autoSpaceDN w:val="0"/>
        <w:adjustRightInd w:val="0"/>
        <w:textAlignment w:val="baseline"/>
      </w:pPr>
      <w:r>
        <w:t>O CESE congratula-se com a proposta, que visa assegurar que todos os cães e gatos na UE beneficiem de um nível elevado de bem-estar e estejam devidamente identificados e registados, o que facilitará a sua rastreabilidade, prevenindo o comércio ilegal e fenómenos como o contrabando. O CESE considera que esta iniciativa reflete igualmente a necessidade de proteger os consumidores dos riscos associados à compra de animais de origem ilegal, que podem estar doentes ou terem sofrido maus-tratos.</w:t>
      </w:r>
    </w:p>
    <w:p w:rsidRPr="00830130" w:rsidR="00802F15" w:rsidP="00802F15" w:rsidRDefault="00802F15" w14:paraId="759779F8" w14:textId="77777777">
      <w:pPr>
        <w:rPr>
          <w:lang w:val="en-GB"/>
        </w:rPr>
      </w:pPr>
    </w:p>
    <w:p w:rsidRPr="00830130" w:rsidR="00802F15" w:rsidP="00802F15" w:rsidRDefault="00802F15" w14:paraId="4F2F1EB2" w14:textId="77777777">
      <w:pPr>
        <w:pStyle w:val="Heading1"/>
        <w:keepNext/>
        <w:overflowPunct w:val="0"/>
        <w:autoSpaceDE w:val="0"/>
        <w:autoSpaceDN w:val="0"/>
        <w:adjustRightInd w:val="0"/>
        <w:textAlignment w:val="baseline"/>
        <w:rPr>
          <w:b/>
        </w:rPr>
      </w:pPr>
      <w:r>
        <w:rPr>
          <w:b/>
        </w:rPr>
        <w:t>Contexto</w:t>
      </w:r>
    </w:p>
    <w:p w:rsidRPr="00830130" w:rsidR="00802F15" w:rsidP="00802F15" w:rsidRDefault="00802F15" w14:paraId="5DB97964" w14:textId="77777777">
      <w:pPr>
        <w:keepNext/>
        <w:rPr>
          <w:lang w:val="en-GB"/>
        </w:rPr>
      </w:pPr>
    </w:p>
    <w:p w:rsidRPr="00830130" w:rsidR="00802F15" w:rsidP="00802F15" w:rsidRDefault="00802F15" w14:paraId="2F72CC4B" w14:textId="77777777">
      <w:pPr>
        <w:numPr>
          <w:ilvl w:val="1"/>
          <w:numId w:val="1"/>
        </w:numPr>
        <w:overflowPunct w:val="0"/>
        <w:autoSpaceDE w:val="0"/>
        <w:autoSpaceDN w:val="0"/>
        <w:adjustRightInd w:val="0"/>
        <w:ind w:left="567" w:hanging="567"/>
        <w:textAlignment w:val="baseline"/>
        <w:outlineLvl w:val="1"/>
      </w:pPr>
      <w:r>
        <w:t>Ao longo dos anos, aumentaram as preocupações da sociedade quanto ao tratamento ético dos animais. O bem-estar animal tem sido objeto de interesse político há várias décadas</w:t>
      </w:r>
      <w:r w:rsidRPr="00830130">
        <w:rPr>
          <w:sz w:val="24"/>
          <w:vertAlign w:val="superscript"/>
          <w:lang w:val="en-GB"/>
        </w:rPr>
        <w:footnoteReference w:id="1"/>
      </w:r>
      <w:r>
        <w:t>. A legislação em matéria de bem-estar dos animais de criação abrange um quadro muito rigoroso que vai do bem-estar nas explorações agrícolas ao transporte e abate</w:t>
      </w:r>
      <w:r w:rsidRPr="00830130">
        <w:rPr>
          <w:sz w:val="24"/>
          <w:vertAlign w:val="superscript"/>
          <w:lang w:val="en-GB"/>
        </w:rPr>
        <w:footnoteReference w:id="2"/>
      </w:r>
      <w:r>
        <w:t>, e baseia-se frequentemente em evidências decorrentes da investigação</w:t>
      </w:r>
      <w:r w:rsidRPr="00830130">
        <w:rPr>
          <w:sz w:val="24"/>
          <w:vertAlign w:val="superscript"/>
          <w:lang w:val="en-GB"/>
        </w:rPr>
        <w:footnoteReference w:id="3"/>
      </w:r>
      <w:r>
        <w:t>.</w:t>
      </w:r>
    </w:p>
    <w:p w:rsidRPr="00830130" w:rsidR="00802F15" w:rsidP="00802F15" w:rsidRDefault="00802F15" w14:paraId="6214205A" w14:textId="77777777">
      <w:pPr>
        <w:rPr>
          <w:lang w:val="en-GB"/>
        </w:rPr>
      </w:pPr>
    </w:p>
    <w:p w:rsidRPr="00830130" w:rsidR="00802F15" w:rsidP="00802F15" w:rsidRDefault="00802F15" w14:paraId="392A04FF" w14:textId="77777777">
      <w:pPr>
        <w:numPr>
          <w:ilvl w:val="1"/>
          <w:numId w:val="1"/>
        </w:numPr>
        <w:overflowPunct w:val="0"/>
        <w:autoSpaceDE w:val="0"/>
        <w:autoSpaceDN w:val="0"/>
        <w:adjustRightInd w:val="0"/>
        <w:ind w:left="567" w:hanging="567"/>
        <w:textAlignment w:val="baseline"/>
        <w:outlineLvl w:val="1"/>
      </w:pPr>
      <w:r>
        <w:t>No entanto, no caso dos cães e dos gatos, a adoção de legislação processa-se a um ritmo mais lento em todo o mundo, quer no que se refere às temáticas abrangidas quer quanto à sua especificidade. Em regiões como os Estados Unidos ou o Estado australiano da Nova Gales do Sul, a legislação estabelece requisitos mínimos para a detenção e o tratamento diário de cães e gatos. Com efeito, na maioria dos casos, a legislação situa-se entre disposições gerais de luta contra a crueldade e de bem-estar dos animais</w:t>
      </w:r>
      <w:r w:rsidRPr="00830130">
        <w:rPr>
          <w:sz w:val="24"/>
          <w:vertAlign w:val="superscript"/>
          <w:lang w:val="en-GB"/>
        </w:rPr>
        <w:footnoteReference w:id="4"/>
      </w:r>
      <w:r>
        <w:t>.</w:t>
      </w:r>
    </w:p>
    <w:p w:rsidRPr="00830130" w:rsidR="00802F15" w:rsidP="00802F15" w:rsidRDefault="00802F15" w14:paraId="1C0E7E7C" w14:textId="77777777">
      <w:pPr>
        <w:rPr>
          <w:lang w:val="en-GB"/>
        </w:rPr>
      </w:pPr>
    </w:p>
    <w:p w:rsidRPr="00830130" w:rsidR="00802F15" w:rsidP="00802F15" w:rsidRDefault="00802F15" w14:paraId="73171856" w14:textId="77777777">
      <w:pPr>
        <w:numPr>
          <w:ilvl w:val="1"/>
          <w:numId w:val="1"/>
        </w:numPr>
        <w:overflowPunct w:val="0"/>
        <w:autoSpaceDE w:val="0"/>
        <w:autoSpaceDN w:val="0"/>
        <w:adjustRightInd w:val="0"/>
        <w:ind w:left="567" w:hanging="567"/>
        <w:textAlignment w:val="baseline"/>
        <w:outlineLvl w:val="1"/>
      </w:pPr>
      <w:r>
        <w:t xml:space="preserve">Na Europa, a legislação centra-se exclusivamente nos controlos veterinários e de transporte, o que significa que os demais aspetos relacionados com o bem-estar dos animais de companhia </w:t>
      </w:r>
      <w:r>
        <w:lastRenderedPageBreak/>
        <w:t>são monitorizados até à data no âmbito dos sistemas de regulamentação nacional que variam de país para país.</w:t>
      </w:r>
    </w:p>
    <w:p w:rsidRPr="00830130" w:rsidR="00802F15" w:rsidP="00802F15" w:rsidRDefault="00802F15" w14:paraId="580D8B69" w14:textId="77777777">
      <w:pPr>
        <w:rPr>
          <w:lang w:val="en-GB"/>
        </w:rPr>
      </w:pPr>
    </w:p>
    <w:p w:rsidRPr="00830130" w:rsidR="00802F15" w:rsidP="00802F15" w:rsidRDefault="00802F15" w14:paraId="1AAA11D7" w14:textId="77777777">
      <w:pPr>
        <w:numPr>
          <w:ilvl w:val="1"/>
          <w:numId w:val="1"/>
        </w:numPr>
        <w:overflowPunct w:val="0"/>
        <w:autoSpaceDE w:val="0"/>
        <w:autoSpaceDN w:val="0"/>
        <w:adjustRightInd w:val="0"/>
        <w:ind w:left="567" w:hanging="567"/>
        <w:textAlignment w:val="baseline"/>
        <w:outlineLvl w:val="1"/>
      </w:pPr>
      <w:r>
        <w:t>Os cães e os gatos desempenham um papel significativo no dia a dia das pessoas, sendo considerados membros da família que, além de serem uma companhia, são também fonte de sentimentos de apego e segurança emocional</w:t>
      </w:r>
      <w:r w:rsidRPr="00830130">
        <w:rPr>
          <w:sz w:val="24"/>
          <w:vertAlign w:val="superscript"/>
          <w:lang w:val="en-GB"/>
        </w:rPr>
        <w:footnoteReference w:id="5"/>
      </w:r>
      <w:r>
        <w:t>. O papel dos cães evoluiu de animal de companhia para o apoio às pessoas com deficiência como cães-guia e de assistência</w:t>
      </w:r>
      <w:r w:rsidRPr="00830130">
        <w:rPr>
          <w:sz w:val="24"/>
          <w:vertAlign w:val="superscript"/>
          <w:lang w:val="en-GB"/>
        </w:rPr>
        <w:footnoteReference w:id="6"/>
      </w:r>
      <w:r>
        <w:t>.</w:t>
      </w:r>
    </w:p>
    <w:p w:rsidRPr="00830130" w:rsidR="00802F15" w:rsidP="00802F15" w:rsidRDefault="00802F15" w14:paraId="097B1EA7" w14:textId="77777777">
      <w:pPr>
        <w:rPr>
          <w:lang w:val="en-GB"/>
        </w:rPr>
      </w:pPr>
    </w:p>
    <w:p w:rsidRPr="00830130" w:rsidR="00802F15" w:rsidP="00802F15" w:rsidRDefault="00802F15" w14:paraId="5353B353" w14:textId="77777777">
      <w:pPr>
        <w:numPr>
          <w:ilvl w:val="1"/>
          <w:numId w:val="1"/>
        </w:numPr>
        <w:overflowPunct w:val="0"/>
        <w:autoSpaceDE w:val="0"/>
        <w:autoSpaceDN w:val="0"/>
        <w:adjustRightInd w:val="0"/>
        <w:ind w:left="567" w:hanging="567"/>
        <w:textAlignment w:val="baseline"/>
        <w:outlineLvl w:val="1"/>
      </w:pPr>
      <w:r>
        <w:t>Uma vez que os animais desempenham um papel fundamental como fonte de companhia, a alteração dos modos de vida e das exigências das pessoas pode prejudicar o seu bem-estar</w:t>
      </w:r>
      <w:r w:rsidRPr="00830130">
        <w:rPr>
          <w:sz w:val="24"/>
          <w:vertAlign w:val="superscript"/>
          <w:lang w:val="en-GB"/>
        </w:rPr>
        <w:footnoteReference w:id="7"/>
      </w:r>
      <w:r>
        <w:t>. Parece fácil presumir que os animais de estimação são tratados com respeito enquanto animais de companhia e que o seu «bem-estar» está assegurado, mas há poucos elementos que confirmem esta convicção. Com efeito, apesar desta suposição, subsistem sérias preocupações quanto ao bem-estar dos animais de companhia</w:t>
      </w:r>
      <w:r w:rsidRPr="00830130">
        <w:rPr>
          <w:sz w:val="24"/>
          <w:vertAlign w:val="superscript"/>
          <w:lang w:val="en-GB"/>
        </w:rPr>
        <w:footnoteReference w:id="8"/>
      </w:r>
      <w:r>
        <w:t>.</w:t>
      </w:r>
    </w:p>
    <w:p w:rsidRPr="00830130" w:rsidR="00802F15" w:rsidP="00802F15" w:rsidRDefault="00802F15" w14:paraId="4D135C01" w14:textId="77777777">
      <w:pPr>
        <w:rPr>
          <w:lang w:val="en-GB"/>
        </w:rPr>
      </w:pPr>
    </w:p>
    <w:p w:rsidRPr="00830130" w:rsidR="00802F15" w:rsidP="00802F15" w:rsidRDefault="00802F15" w14:paraId="7ABD7EEE" w14:textId="77777777">
      <w:pPr>
        <w:numPr>
          <w:ilvl w:val="1"/>
          <w:numId w:val="1"/>
        </w:numPr>
        <w:overflowPunct w:val="0"/>
        <w:autoSpaceDE w:val="0"/>
        <w:autoSpaceDN w:val="0"/>
        <w:adjustRightInd w:val="0"/>
        <w:ind w:left="567" w:hanging="567"/>
        <w:textAlignment w:val="baseline"/>
        <w:outlineLvl w:val="1"/>
      </w:pPr>
      <w:r>
        <w:t>Há muito que a União Europeia está empenhada em melhorar o bem-estar dos animais, o que se reflete em numerosos regulamentos e iniciativas. No contexto da crescente sensibilização da sociedade para as condições de vida dos cães e gatos e do número crescente destes animais mantidos como animais de companhia na Europa, a proposta relativa ao seu bem-estar, rastreabilidade e comércio visa harmonizar e reforçar o quadro jurídico existente.</w:t>
      </w:r>
    </w:p>
    <w:p w:rsidRPr="00830130" w:rsidR="00802F15" w:rsidP="00802F15" w:rsidRDefault="00802F15" w14:paraId="52BB783B" w14:textId="77777777">
      <w:pPr>
        <w:rPr>
          <w:lang w:val="en-GB"/>
        </w:rPr>
      </w:pPr>
    </w:p>
    <w:p w:rsidRPr="00830130" w:rsidR="00802F15" w:rsidP="00802F15" w:rsidRDefault="00802F15" w14:paraId="7D004E5D" w14:textId="77777777">
      <w:pPr>
        <w:pStyle w:val="Heading1"/>
        <w:keepNext/>
        <w:keepLines/>
        <w:overflowPunct w:val="0"/>
        <w:autoSpaceDE w:val="0"/>
        <w:autoSpaceDN w:val="0"/>
        <w:adjustRightInd w:val="0"/>
        <w:textAlignment w:val="baseline"/>
        <w:rPr>
          <w:b/>
          <w:bCs/>
        </w:rPr>
      </w:pPr>
      <w:r>
        <w:rPr>
          <w:b/>
        </w:rPr>
        <w:t>Observações</w:t>
      </w:r>
    </w:p>
    <w:p w:rsidRPr="00830130" w:rsidR="00802F15" w:rsidP="00802F15" w:rsidRDefault="00802F15" w14:paraId="0FCB4B50" w14:textId="77777777">
      <w:pPr>
        <w:keepNext/>
        <w:keepLines/>
        <w:outlineLvl w:val="1"/>
        <w:rPr>
          <w:lang w:val="en-GB"/>
        </w:rPr>
      </w:pPr>
    </w:p>
    <w:p w:rsidRPr="00830130" w:rsidR="00802F15" w:rsidP="00802F15" w:rsidRDefault="00802F15" w14:paraId="0514E38E" w14:textId="77777777">
      <w:pPr>
        <w:pStyle w:val="Heading2"/>
        <w:overflowPunct w:val="0"/>
        <w:autoSpaceDE w:val="0"/>
        <w:autoSpaceDN w:val="0"/>
        <w:adjustRightInd w:val="0"/>
        <w:textAlignment w:val="baseline"/>
      </w:pPr>
      <w:r>
        <w:t>Um dos maiores problemas que afetam o bem-estar dos cães e dos gatos prende-se com a sobrelotação e a pressão a que estão sujeitos os abrigos para animais, em grande parte devido ao abandono dos animais e ao recurso insuficiente a práticas de esterilização. Em 2019, foram registados mais de 3,5 milhões de animais em abrigos (incluindo cães e gatos) nos EUA. Atualmente, não existem dados oficiais sobre o número de cães e gatos em abrigos na Europa, mas estima-se que haja um total de cerca de 100 milhões de animais de companhia abandonados. Este número inclui não só os animais que se encontram em abrigos, como também os cães e os gatos sem abrigo.</w:t>
      </w:r>
    </w:p>
    <w:p w:rsidRPr="00830130" w:rsidR="00D223E8" w:rsidP="00802F15" w:rsidRDefault="00D223E8" w14:paraId="0D6A6780" w14:textId="77777777">
      <w:pPr>
        <w:outlineLvl w:val="1"/>
        <w:rPr>
          <w:lang w:val="en-GB"/>
        </w:rPr>
      </w:pPr>
    </w:p>
    <w:p w:rsidRPr="00830130" w:rsidR="00802F15" w:rsidP="00802F15" w:rsidRDefault="00802F15" w14:paraId="461153B8" w14:textId="77777777">
      <w:pPr>
        <w:numPr>
          <w:ilvl w:val="1"/>
          <w:numId w:val="1"/>
        </w:numPr>
        <w:overflowPunct w:val="0"/>
        <w:autoSpaceDE w:val="0"/>
        <w:autoSpaceDN w:val="0"/>
        <w:adjustRightInd w:val="0"/>
        <w:ind w:left="567" w:hanging="567"/>
        <w:textAlignment w:val="baseline"/>
        <w:outlineLvl w:val="1"/>
      </w:pPr>
      <w:r>
        <w:t xml:space="preserve">Os cães vadios representam um problema grave em várias regiões da Europa Meridional e Oriental e constituem uma ameaça grave para a saúde pública, já que aumentam o risco de ataques contra as pessoas e outros animais domésticos e de transmissão da raiva. A única </w:t>
      </w:r>
      <w:r>
        <w:lastRenderedPageBreak/>
        <w:t>abordagem sustentável para reduzir o número de cães vadios é a introdução ou, se for caso disso, a aplicação de políticas de esterilização obrigatória para os animais em abrigos e para os animais que não sejam de raça pura com proprietários identificáveis.</w:t>
      </w:r>
    </w:p>
    <w:p w:rsidRPr="00830130" w:rsidR="00802F15" w:rsidP="00802F15" w:rsidRDefault="00802F15" w14:paraId="21C598DB" w14:textId="77777777">
      <w:pPr>
        <w:ind w:left="567" w:hanging="567"/>
        <w:rPr>
          <w:lang w:val="en-GB"/>
        </w:rPr>
      </w:pPr>
    </w:p>
    <w:p w:rsidRPr="00830130" w:rsidR="00802F15" w:rsidP="00802F15" w:rsidRDefault="00802F15" w14:paraId="3485C953" w14:textId="77777777">
      <w:pPr>
        <w:pStyle w:val="Heading2"/>
        <w:overflowPunct w:val="0"/>
        <w:autoSpaceDE w:val="0"/>
        <w:autoSpaceDN w:val="0"/>
        <w:adjustRightInd w:val="0"/>
        <w:textAlignment w:val="baseline"/>
      </w:pPr>
      <w:r>
        <w:t>Outro domínio importante de preocupação relativamente ao bem-estar dos animais prende-se com a criação de cães e gatos de raça braquicéfala, caracterizados por uma estrutura de cabeça curta e achatada, o que também suscita questões éticas devido aos problemas de saúde conexos.</w:t>
      </w:r>
    </w:p>
    <w:p w:rsidRPr="00830130" w:rsidR="00802F15" w:rsidP="00802F15" w:rsidRDefault="00802F15" w14:paraId="0B893EBC" w14:textId="77777777">
      <w:pPr>
        <w:ind w:left="567" w:hanging="567"/>
        <w:rPr>
          <w:lang w:val="en-GB"/>
        </w:rPr>
      </w:pPr>
    </w:p>
    <w:p w:rsidRPr="00830130" w:rsidR="00802F15" w:rsidP="00802F15" w:rsidRDefault="00802F15" w14:paraId="2B387403" w14:textId="77777777">
      <w:pPr>
        <w:numPr>
          <w:ilvl w:val="1"/>
          <w:numId w:val="1"/>
        </w:numPr>
        <w:overflowPunct w:val="0"/>
        <w:autoSpaceDE w:val="0"/>
        <w:autoSpaceDN w:val="0"/>
        <w:adjustRightInd w:val="0"/>
        <w:ind w:left="567" w:hanging="567"/>
        <w:textAlignment w:val="baseline"/>
        <w:outlineLvl w:val="1"/>
      </w:pPr>
      <w:r>
        <w:t>Nos últimos anos, registou-se um aumento alarmante da obesidade nos animais de companhia, associada principalmente à falta de exercício e ao consumo excessivo de alimentos, o que provoca graves problemas de saúde. Um número significativo de proprietários de cães considera erradamente que o excesso de peso é bom para os seus animais. Outros proprietários de animais de companhia acham interessante alimentar os seus animais com uma dieta à base de plantas, mas os regimes alimentares vegetarianos e veganos são considerados contraindicados para os gatos. Por último, as pessoas por vezes antropomorfizam os animais, atribuindo-lhes características, emoções ou intenções humanas. Na opinião do CESE, esta atitude também pode comprometer o bem-estar dos animais de companhia.</w:t>
      </w:r>
    </w:p>
    <w:p w:rsidRPr="00830130" w:rsidR="00802F15" w:rsidP="00802F15" w:rsidRDefault="00802F15" w14:paraId="2FC75608" w14:textId="77777777">
      <w:pPr>
        <w:rPr>
          <w:lang w:val="en-GB"/>
        </w:rPr>
      </w:pPr>
    </w:p>
    <w:p w:rsidRPr="00830130" w:rsidR="00802F15" w:rsidP="00802F15" w:rsidRDefault="00802F15" w14:paraId="0D3C3A90" w14:textId="77777777">
      <w:pPr>
        <w:numPr>
          <w:ilvl w:val="1"/>
          <w:numId w:val="1"/>
        </w:numPr>
        <w:overflowPunct w:val="0"/>
        <w:autoSpaceDE w:val="0"/>
        <w:autoSpaceDN w:val="0"/>
        <w:adjustRightInd w:val="0"/>
        <w:ind w:left="567" w:hanging="567"/>
        <w:textAlignment w:val="baseline"/>
        <w:outlineLvl w:val="1"/>
      </w:pPr>
      <w:r>
        <w:t>O CESE considera que é necessário desenvolver sistemas integrados de identificação que contribuam para a aplicação de tecnologias e procedimentos harmonizados de identificação e registo dos cães e dos gatos na União Europeia. Salienta que esses sistemas devem ter por objetivo facilitar a rastreabilidade da origem dos animais, do seu historial sanitário e dos seus proprietários, o que é fundamental para melhorar o bem-estar dos animais, combater o comércio ilegal e aumentar a responsabilidade dos criadores e vendedores. Os sistemas integrados de identificação devem também promover o intercâmbio de dados entre os Estados-Membros e, assim, facilitar a cooperação transfronteiriça em matéria de proteção dos animais. A aplicação desses sistemas exige a cooperação dos vários níveis de governo, bem como a participação das partes interessadas, incluindo as ONG e o setor privado.</w:t>
      </w:r>
    </w:p>
    <w:p w:rsidRPr="00830130" w:rsidR="00802F15" w:rsidP="00802F15" w:rsidRDefault="00802F15" w14:paraId="5A9F6EFE" w14:textId="77777777">
      <w:pPr>
        <w:ind w:left="567" w:hanging="567"/>
        <w:rPr>
          <w:lang w:val="en-GB"/>
        </w:rPr>
      </w:pPr>
    </w:p>
    <w:p w:rsidRPr="00830130" w:rsidR="00802F15" w:rsidP="00802F15" w:rsidRDefault="00802F15" w14:paraId="3171E775" w14:textId="77777777">
      <w:pPr>
        <w:numPr>
          <w:ilvl w:val="1"/>
          <w:numId w:val="1"/>
        </w:numPr>
        <w:overflowPunct w:val="0"/>
        <w:autoSpaceDE w:val="0"/>
        <w:autoSpaceDN w:val="0"/>
        <w:adjustRightInd w:val="0"/>
        <w:ind w:left="567" w:hanging="567"/>
        <w:textAlignment w:val="baseline"/>
        <w:outlineLvl w:val="1"/>
      </w:pPr>
      <w:r>
        <w:t>O CESE salienta que a harmonização dos requisitos de bem-estar deve ter por objetivo assegurar normas uniformes e elevadas de cuidados dos animais em toda a União Europeia. Para o efeito, tanto a Comissão Europeia como os Estados-Membros deverão elaborar regras pormenorizadas que definam as condições mínimas de vida, nutrição, cuidados veterinários, incluindo disposições em matéria de esterilização, e proteção contra doenças e abusos. A aplicação dessas normas visa não só melhorar a qualidade de vida dos animais e promover a criação e o comércio responsáveis, como também reduzir a propagação de doenças.</w:t>
      </w:r>
    </w:p>
    <w:p w:rsidRPr="00830130" w:rsidR="00802F15" w:rsidP="00802F15" w:rsidRDefault="00802F15" w14:paraId="79C93D88" w14:textId="77777777">
      <w:pPr>
        <w:rPr>
          <w:sz w:val="16"/>
          <w:szCs w:val="16"/>
          <w:lang w:val="en-GB"/>
        </w:rPr>
      </w:pPr>
    </w:p>
    <w:p w:rsidRPr="00830130" w:rsidR="00802F15" w:rsidP="00802F15" w:rsidRDefault="00802F15" w14:paraId="384A75EE" w14:textId="77777777">
      <w:pPr>
        <w:numPr>
          <w:ilvl w:val="1"/>
          <w:numId w:val="1"/>
        </w:numPr>
        <w:overflowPunct w:val="0"/>
        <w:autoSpaceDE w:val="0"/>
        <w:autoSpaceDN w:val="0"/>
        <w:adjustRightInd w:val="0"/>
        <w:ind w:left="567" w:hanging="567"/>
        <w:textAlignment w:val="baseline"/>
        <w:outlineLvl w:val="1"/>
      </w:pPr>
      <w:r>
        <w:t>O CESE chama a atenção para a necessidade de elaborar programas de apoio financeiro e de aconselhamento dedicados aos pequenos criadores, para que possam adaptar-se às novas regras sem comprometer as suas atividades. Esses programas devem prever subvenções, benefícios fiscais e acesso a formações e recursos educativos.</w:t>
      </w:r>
    </w:p>
    <w:p w:rsidRPr="00830130" w:rsidR="00802F15" w:rsidP="00802F15" w:rsidRDefault="00802F15" w14:paraId="1B9AF81D" w14:textId="77777777">
      <w:pPr>
        <w:rPr>
          <w:sz w:val="16"/>
          <w:szCs w:val="16"/>
          <w:lang w:val="en-GB"/>
        </w:rPr>
      </w:pPr>
    </w:p>
    <w:p w:rsidRPr="00830130" w:rsidR="00802F15" w:rsidP="00802F15" w:rsidRDefault="00802F15" w14:paraId="232D4368" w14:textId="77777777">
      <w:pPr>
        <w:numPr>
          <w:ilvl w:val="1"/>
          <w:numId w:val="1"/>
        </w:numPr>
        <w:overflowPunct w:val="0"/>
        <w:autoSpaceDE w:val="0"/>
        <w:autoSpaceDN w:val="0"/>
        <w:adjustRightInd w:val="0"/>
        <w:ind w:left="567" w:hanging="567"/>
        <w:textAlignment w:val="baseline"/>
        <w:outlineLvl w:val="1"/>
      </w:pPr>
      <w:r>
        <w:t xml:space="preserve">O CESE salienta que as ONG podem desempenhar um papel fundamental na promoção e aplicação de mudanças com vista à proteção do bem-estar dos cães e dos gatos, como sugerido no documento. As suas atividades podem incluir: a realização de campanhas de educação, a promoção da investigação e desenvolvimento de boas práticas em matéria de cuidados dos </w:t>
      </w:r>
      <w:r>
        <w:lastRenderedPageBreak/>
        <w:t>animais, a cooperação com organismos governamentais na elaboração e execução da legislação e a participação na elaboração dos sistemas de identificação e registo de animais. Recomenda-se igualmente que se saliente a necessidade de as ONG participarem em atividades internacionais destinadas a combater o comércio ilegal de animais e a promover a cooperação a nível mundial.</w:t>
      </w:r>
    </w:p>
    <w:p w:rsidRPr="00830130" w:rsidR="005D19D7" w:rsidP="00802F15" w:rsidRDefault="005D19D7" w14:paraId="1A7FC294" w14:textId="77777777">
      <w:pPr>
        <w:rPr>
          <w:lang w:val="en-GB"/>
        </w:rPr>
      </w:pPr>
    </w:p>
    <w:p w:rsidRPr="00830130" w:rsidR="00802F15" w:rsidP="00802F15" w:rsidRDefault="00802F15" w14:paraId="32585A6B" w14:textId="77777777">
      <w:pPr>
        <w:numPr>
          <w:ilvl w:val="1"/>
          <w:numId w:val="1"/>
        </w:numPr>
        <w:overflowPunct w:val="0"/>
        <w:autoSpaceDE w:val="0"/>
        <w:autoSpaceDN w:val="0"/>
        <w:adjustRightInd w:val="0"/>
        <w:ind w:left="567" w:hanging="567"/>
        <w:textAlignment w:val="baseline"/>
        <w:outlineLvl w:val="1"/>
      </w:pPr>
      <w:r>
        <w:t>É essencial aumentar a responsabilidade das plataformas de venda digitais e criar regras e mecanismos de supervisão que obriguem essas plataformas a verificar a identidade dos vendedores, a origem dos animais postos à venda e o cumprimento da legislação nacional em vigor em matéria de bem-estar dos animais, como a legislação relativa à esterilização. As plataformas devem também assegurar que os anúncios de venda cumprem os requisitos legais em matéria de bem-estar animal e rastreabilidade dos animais. Poder-se-ia prever a obrigação de essas plataformas removerem anúncios ilegais e cooperarem com as autoridades responsáveis pela aplicação da lei para combater o comércio ilegal de animais. Estas medidas podem contribuir significativamente para melhorar a proteção dos animais e aumentar a segurança e a fiabilidade das transações em linha.</w:t>
      </w:r>
    </w:p>
    <w:p w:rsidRPr="00830130" w:rsidR="00802F15" w:rsidP="00802F15" w:rsidRDefault="00802F15" w14:paraId="02918C9F" w14:textId="77777777">
      <w:pPr>
        <w:jc w:val="left"/>
        <w:rPr>
          <w:lang w:val="en-GB"/>
        </w:rPr>
      </w:pPr>
    </w:p>
    <w:p w:rsidRPr="00830130" w:rsidR="00802F15" w:rsidP="00802F15" w:rsidRDefault="00802F15" w14:paraId="24CC69C2" w14:textId="77777777">
      <w:pPr>
        <w:jc w:val="left"/>
      </w:pPr>
      <w:r>
        <w:t>Bruxelas, 21 de março de 2024</w:t>
      </w:r>
    </w:p>
    <w:p w:rsidRPr="00830130" w:rsidR="00802F15" w:rsidP="00802F15" w:rsidRDefault="00802F15" w14:paraId="55039442" w14:textId="77777777">
      <w:pPr>
        <w:jc w:val="left"/>
        <w:rPr>
          <w:lang w:val="en-GB"/>
        </w:rPr>
      </w:pPr>
    </w:p>
    <w:p w:rsidRPr="00830130" w:rsidR="00802F15" w:rsidP="00802F15" w:rsidRDefault="00802F15" w14:paraId="055B8DBC" w14:textId="77777777">
      <w:pPr>
        <w:jc w:val="left"/>
        <w:rPr>
          <w:lang w:val="en-GB"/>
        </w:rPr>
      </w:pPr>
    </w:p>
    <w:p w:rsidRPr="00830130" w:rsidR="00802F15" w:rsidP="00802F15" w:rsidRDefault="00802F15" w14:paraId="24590C09" w14:textId="77777777">
      <w:pPr>
        <w:jc w:val="left"/>
        <w:rPr>
          <w:lang w:val="en-GB"/>
        </w:rPr>
      </w:pPr>
    </w:p>
    <w:p w:rsidRPr="00830130" w:rsidR="00802F15" w:rsidP="00802F15" w:rsidRDefault="00BB057E" w14:paraId="072F8B97" w14:textId="77777777">
      <w:pPr>
        <w:keepNext/>
        <w:keepLines/>
        <w:tabs>
          <w:tab w:val="left" w:pos="426"/>
        </w:tabs>
        <w:jc w:val="left"/>
      </w:pPr>
      <w:r>
        <w:t>Oliver Röpke</w:t>
      </w:r>
    </w:p>
    <w:p w:rsidRPr="00830130" w:rsidR="00802F15" w:rsidP="00802F15" w:rsidRDefault="00802F15" w14:paraId="460ADCEC" w14:textId="77777777">
      <w:pPr>
        <w:jc w:val="left"/>
      </w:pPr>
      <w:r>
        <w:t>Presidente do Comité Económico e Social Europeu</w:t>
      </w:r>
    </w:p>
    <w:p w:rsidRPr="00830130" w:rsidR="00802F15" w:rsidP="00802F15" w:rsidRDefault="00802F15" w14:paraId="29CA2500" w14:textId="77777777">
      <w:pPr>
        <w:jc w:val="left"/>
        <w:rPr>
          <w:lang w:val="en-GB"/>
        </w:rPr>
      </w:pPr>
    </w:p>
    <w:p w:rsidRPr="00C12D23" w:rsidR="00802F15" w:rsidP="00802F15" w:rsidRDefault="00802F15" w14:paraId="4AFA2D9E" w14:textId="77777777">
      <w:pPr>
        <w:jc w:val="center"/>
        <w:rPr>
          <w:sz w:val="16"/>
          <w:szCs w:val="16"/>
        </w:rPr>
      </w:pPr>
      <w:r>
        <w:t>_____________</w:t>
      </w:r>
    </w:p>
    <w:sectPr w:rsidRPr="00C12D23" w:rsidR="00802F15" w:rsidSect="001E74A1">
      <w:headerReference w:type="default" r:id="rId21"/>
      <w:footerReference w:type="default" r:id="rId22"/>
      <w:pgSz w:w="11907" w:h="16839" w:code="9"/>
      <w:pgMar w:top="1418" w:right="1418" w:bottom="1418" w:left="1418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01167" w14:textId="77777777" w:rsidR="00D039AF" w:rsidRDefault="00D039AF" w:rsidP="00F53370">
      <w:pPr>
        <w:spacing w:line="240" w:lineRule="auto"/>
      </w:pPr>
      <w:r>
        <w:separator/>
      </w:r>
    </w:p>
  </w:endnote>
  <w:endnote w:type="continuationSeparator" w:id="0">
    <w:p w14:paraId="787CC666" w14:textId="77777777" w:rsidR="00D039AF" w:rsidRDefault="00D039AF" w:rsidP="00F533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3F350" w14:textId="77777777" w:rsidR="007C7B31" w:rsidRDefault="007C7B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C1BC4" w14:textId="77777777" w:rsidR="007C7B31" w:rsidRDefault="007C7B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C11F6" w14:textId="77777777" w:rsidR="007C7B31" w:rsidRDefault="007C7B3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66319" w14:textId="77777777" w:rsidR="00574C9B" w:rsidRDefault="00574C9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74136" w14:textId="61639E30" w:rsidR="0084105C" w:rsidRPr="003065C9" w:rsidRDefault="007C7B31" w:rsidP="007C7B31">
    <w:pPr>
      <w:pStyle w:val="Footer"/>
      <w:jc w:val="left"/>
    </w:pPr>
    <w:r>
      <w:t xml:space="preserve">NAT/922 – EESC-2024-00532-00-02-AC-TRA (EN) </w:t>
    </w:r>
    <w:r>
      <w:fldChar w:fldCharType="begin"/>
    </w:r>
    <w:r>
      <w:instrText xml:space="preserve"> PAGE  \* Arabic  \* MERGEFORMAT </w:instrText>
    </w:r>
    <w:r>
      <w:fldChar w:fldCharType="separate"/>
    </w:r>
    <w:r>
      <w:t>4</w:t>
    </w:r>
    <w:r>
      <w:fldChar w:fldCharType="end"/>
    </w:r>
    <w:r>
      <w:t>/</w:t>
    </w:r>
    <w:r>
      <w:fldChar w:fldCharType="begin"/>
    </w:r>
    <w:r>
      <w:instrText xml:space="preserve"> = </w:instrText>
    </w:r>
    <w:r w:rsidR="00F877B4">
      <w:fldChar w:fldCharType="begin"/>
    </w:r>
    <w:r w:rsidR="00F877B4">
      <w:instrText xml:space="preserve"> NUMPAGES </w:instrText>
    </w:r>
    <w:r w:rsidR="00F877B4">
      <w:fldChar w:fldCharType="separate"/>
    </w:r>
    <w:r w:rsidR="002E10AF">
      <w:rPr>
        <w:noProof/>
      </w:rPr>
      <w:instrText>7</w:instrText>
    </w:r>
    <w:r w:rsidR="00F877B4">
      <w:fldChar w:fldCharType="end"/>
    </w:r>
    <w:r>
      <w:instrText xml:space="preserve"> - 2 </w:instrText>
    </w:r>
    <w:r>
      <w:fldChar w:fldCharType="separate"/>
    </w:r>
    <w:r w:rsidR="002E10AF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B7ACC" w14:textId="77777777" w:rsidR="00D039AF" w:rsidRDefault="00D039AF" w:rsidP="00F53370">
      <w:pPr>
        <w:spacing w:line="240" w:lineRule="auto"/>
      </w:pPr>
      <w:r>
        <w:separator/>
      </w:r>
    </w:p>
  </w:footnote>
  <w:footnote w:type="continuationSeparator" w:id="0">
    <w:p w14:paraId="2DA79E6E" w14:textId="77777777" w:rsidR="00D039AF" w:rsidRDefault="00D039AF" w:rsidP="00F53370">
      <w:pPr>
        <w:spacing w:line="240" w:lineRule="auto"/>
      </w:pPr>
      <w:r>
        <w:continuationSeparator/>
      </w:r>
    </w:p>
  </w:footnote>
  <w:footnote w:id="1">
    <w:p w14:paraId="07367C11" w14:textId="77777777" w:rsidR="00802F15" w:rsidRPr="00AB13E9" w:rsidRDefault="00802F15" w:rsidP="00802F15">
      <w:pPr>
        <w:pStyle w:val="FootnoteText"/>
      </w:pPr>
      <w:r>
        <w:rPr>
          <w:rStyle w:val="FootnoteReference"/>
        </w:rPr>
        <w:footnoteRef/>
      </w:r>
      <w:r>
        <w:tab/>
        <w:t xml:space="preserve">Bayvel, A.D., Cross, N., «Animal welfare: a complex domestic and international public policy issue – who are the key players?» [Bem-estar animal: um domínio de intervenção pública complexo a nível interno e internacional – Quem são os intervenientes principais?]. </w:t>
      </w:r>
      <w:r>
        <w:rPr>
          <w:i/>
        </w:rPr>
        <w:t>Journal of Veterinary Medical Education</w:t>
      </w:r>
      <w:r>
        <w:t xml:space="preserve">, (2010) 37:3–12. doi: 10.3138/jvme.37.1.3 </w:t>
      </w:r>
      <w:hyperlink r:id="rId1" w:history="1">
        <w:r>
          <w:rPr>
            <w:rStyle w:val="Hyperlink"/>
          </w:rPr>
          <w:t>https://pubmed.ncbi.nlm.nih.g</w:t>
        </w:r>
        <w:r>
          <w:rPr>
            <w:rStyle w:val="Hyperlink"/>
          </w:rPr>
          <w:t>ov/20378871/</w:t>
        </w:r>
      </w:hyperlink>
      <w:r>
        <w:t>.</w:t>
      </w:r>
    </w:p>
  </w:footnote>
  <w:footnote w:id="2">
    <w:p w14:paraId="50425D2F" w14:textId="77777777" w:rsidR="00802F15" w:rsidRPr="00196701" w:rsidRDefault="00802F15" w:rsidP="00802F15">
      <w:pPr>
        <w:pStyle w:val="FootnoteText"/>
      </w:pPr>
      <w:r>
        <w:rPr>
          <w:rStyle w:val="FootnoteReference"/>
        </w:rPr>
        <w:footnoteRef/>
      </w:r>
      <w:r>
        <w:tab/>
        <w:t xml:space="preserve">Caporale, V., Alessandrini, B., Dalla Villa, P., Del Papa, S., «Global perspectives on animal welfare: Europe» [Perspetivas mundiais sobre o bem-estar animal: Europa]. </w:t>
      </w:r>
      <w:r>
        <w:rPr>
          <w:i/>
        </w:rPr>
        <w:t>Scientific and Technical Review</w:t>
      </w:r>
      <w:r>
        <w:t xml:space="preserve">, (2005) 24:567–77. doi: 10.20506/rst.24.2.1594 </w:t>
      </w:r>
      <w:hyperlink r:id="rId2" w:history="1">
        <w:r>
          <w:rPr>
            <w:rStyle w:val="Hyperlink"/>
          </w:rPr>
          <w:t>https://doc.woah.org/dyn/portal/index.xh</w:t>
        </w:r>
        <w:r>
          <w:rPr>
            <w:rStyle w:val="Hyperlink"/>
          </w:rPr>
          <w:t>tml?page=alo&amp;aloId=30460</w:t>
        </w:r>
      </w:hyperlink>
      <w:r>
        <w:t>.</w:t>
      </w:r>
    </w:p>
  </w:footnote>
  <w:footnote w:id="3">
    <w:p w14:paraId="1CFDB914" w14:textId="77777777" w:rsidR="00802F15" w:rsidRPr="00C830F6" w:rsidRDefault="00802F15" w:rsidP="00802F15">
      <w:pPr>
        <w:pStyle w:val="FootnoteText"/>
      </w:pPr>
      <w:r>
        <w:rPr>
          <w:rStyle w:val="FootnoteReference"/>
        </w:rPr>
        <w:footnoteRef/>
      </w:r>
      <w:r>
        <w:tab/>
        <w:t xml:space="preserve">Grandin, T., «Special report: maintenance of good animal welfare standards in beef slaughter plants by use of auditing programs» [Relatório especial: manutenção de normas adequadas de bem-estar animal nas unidades de abate de bovinos através de programas de auditoria]. </w:t>
      </w:r>
      <w:r>
        <w:rPr>
          <w:i/>
        </w:rPr>
        <w:t>Journal of the American Veterinary Medical Association</w:t>
      </w:r>
      <w:r>
        <w:t xml:space="preserve">, (2005) 226:370–3. doi: 10.2460/javma.2005.226.370 </w:t>
      </w:r>
      <w:hyperlink r:id="rId3" w:history="1">
        <w:r>
          <w:rPr>
            <w:rStyle w:val="Hyperlink"/>
          </w:rPr>
          <w:t>https://pubmed.ncbi.nlm.ni</w:t>
        </w:r>
        <w:r>
          <w:rPr>
            <w:rStyle w:val="Hyperlink"/>
          </w:rPr>
          <w:t>h.gov/15702685/</w:t>
        </w:r>
      </w:hyperlink>
      <w:r>
        <w:t>.</w:t>
      </w:r>
    </w:p>
  </w:footnote>
  <w:footnote w:id="4">
    <w:p w14:paraId="4CB20869" w14:textId="77777777" w:rsidR="00802F15" w:rsidRPr="00E14385" w:rsidRDefault="00802F15" w:rsidP="00802F15">
      <w:pPr>
        <w:pStyle w:val="FootnoteText"/>
      </w:pPr>
      <w:r>
        <w:rPr>
          <w:rStyle w:val="FootnoteReference"/>
        </w:rPr>
        <w:footnoteRef/>
      </w:r>
      <w:r>
        <w:tab/>
        <w:t xml:space="preserve">Andersen, S.S., Meyer, I., Forkman, B., Nielsen, S.S., Sandøe, P., «Regulating companion dog welfare: a comparative study of legal frameworks in western countries» [Legislação sobre o bem-estar dos animais de companhia: estudo comparativo dos quadros jurídicos nos países ocidentais]. </w:t>
      </w:r>
      <w:r>
        <w:rPr>
          <w:i/>
        </w:rPr>
        <w:t>Animals</w:t>
      </w:r>
      <w:r>
        <w:t xml:space="preserve"> (2021) 11:1660. doi: 10.3390/ani11061660 </w:t>
      </w:r>
      <w:hyperlink r:id="rId4" w:history="1">
        <w:r>
          <w:rPr>
            <w:rStyle w:val="Hyperlink"/>
          </w:rPr>
          <w:t>https://p</w:t>
        </w:r>
        <w:r>
          <w:rPr>
            <w:rStyle w:val="Hyperlink"/>
          </w:rPr>
          <w:t>ubmed.ncbi.nlm.nih.gov/34199669/</w:t>
        </w:r>
      </w:hyperlink>
      <w:r>
        <w:t>.</w:t>
      </w:r>
    </w:p>
  </w:footnote>
  <w:footnote w:id="5">
    <w:p w14:paraId="64F97D4F" w14:textId="77777777" w:rsidR="00802F15" w:rsidRPr="002A48AB" w:rsidRDefault="00802F15" w:rsidP="00802F15">
      <w:pPr>
        <w:pStyle w:val="FootnoteText"/>
      </w:pPr>
      <w:r>
        <w:rPr>
          <w:rStyle w:val="FootnoteReference"/>
        </w:rPr>
        <w:footnoteRef/>
      </w:r>
      <w:r>
        <w:tab/>
        <w:t xml:space="preserve">Albert, A., Bulcroft, K., «Pets, families, and the life course» [Animais, famílias e o ciclo de vida]. </w:t>
      </w:r>
      <w:r>
        <w:rPr>
          <w:i/>
        </w:rPr>
        <w:t>Journal of Marriage and Family</w:t>
      </w:r>
      <w:r>
        <w:t xml:space="preserve"> (1988) 50:543. doi: 10.2307/352019 </w:t>
      </w:r>
      <w:hyperlink r:id="rId5" w:history="1">
        <w:r>
          <w:rPr>
            <w:rStyle w:val="Hyperlink"/>
          </w:rPr>
          <w:t>https://www.js</w:t>
        </w:r>
        <w:r>
          <w:rPr>
            <w:rStyle w:val="Hyperlink"/>
          </w:rPr>
          <w:t>tor.org/stable/352019?origin=crossref</w:t>
        </w:r>
      </w:hyperlink>
      <w:r>
        <w:t>.</w:t>
      </w:r>
    </w:p>
  </w:footnote>
  <w:footnote w:id="6">
    <w:p w14:paraId="52491F62" w14:textId="77777777" w:rsidR="00802F15" w:rsidRPr="00881848" w:rsidRDefault="00802F15" w:rsidP="00802F15">
      <w:pPr>
        <w:pStyle w:val="FootnoteText"/>
      </w:pPr>
      <w:r>
        <w:rPr>
          <w:rStyle w:val="FootnoteReference"/>
        </w:rPr>
        <w:footnoteRef/>
      </w:r>
      <w:r>
        <w:tab/>
        <w:t xml:space="preserve">Rodriguez, K.E., Greer, J., Yatcilla, J.K., Beck, A.M., O’Haire, M.E., «The effects of assistance dogs on psychosocial health and wellbeing: a systematic literature review» [Impacto dos cães de assistência na saúde psicossocial e no bem-estar: análise sistemática da literatura], </w:t>
      </w:r>
      <w:r>
        <w:rPr>
          <w:i/>
        </w:rPr>
        <w:t>PLoS One</w:t>
      </w:r>
      <w:r>
        <w:t xml:space="preserve"> (2020) 15:e0243302. doi: 10.1371/journal.pone.0243302 </w:t>
      </w:r>
      <w:hyperlink r:id="rId6" w:history="1">
        <w:r>
          <w:rPr>
            <w:rStyle w:val="Hyperlink"/>
          </w:rPr>
          <w:t>https://journals.plos.org/plosone/article?id</w:t>
        </w:r>
        <w:r>
          <w:rPr>
            <w:rStyle w:val="Hyperlink"/>
          </w:rPr>
          <w:t>=10.1371/journal.pone.0243302</w:t>
        </w:r>
      </w:hyperlink>
      <w:r>
        <w:t>.</w:t>
      </w:r>
    </w:p>
  </w:footnote>
  <w:footnote w:id="7">
    <w:p w14:paraId="5A45CAB7" w14:textId="77777777" w:rsidR="00802F15" w:rsidRPr="004C00C9" w:rsidRDefault="00802F15" w:rsidP="00802F15">
      <w:pPr>
        <w:pStyle w:val="FootnoteText"/>
      </w:pPr>
      <w:r>
        <w:rPr>
          <w:rStyle w:val="FootnoteReference"/>
        </w:rPr>
        <w:footnoteRef/>
      </w:r>
      <w:r>
        <w:tab/>
        <w:t xml:space="preserve">Sonntag, Q., Overall, K., «Key determinants of dog and cat welfare: behaviour, breeding and household lifestyle» [Principais fatores determinantes do bem-estar dos cães e dos gatos: comportamento, criação e tipo de vida doméstica]. </w:t>
      </w:r>
      <w:r>
        <w:rPr>
          <w:i/>
        </w:rPr>
        <w:t>Scientific and Technical Review</w:t>
      </w:r>
      <w:r>
        <w:t xml:space="preserve"> (2014) 33:213–20. doi: 10.20506/rst.33.1.2270 </w:t>
      </w:r>
      <w:hyperlink r:id="rId7" w:history="1">
        <w:r>
          <w:rPr>
            <w:rStyle w:val="Hyperlink"/>
          </w:rPr>
          <w:t>https://pubmed.ncbi.</w:t>
        </w:r>
        <w:r>
          <w:rPr>
            <w:rStyle w:val="Hyperlink"/>
          </w:rPr>
          <w:t>nlm.nih.gov/25000794/</w:t>
        </w:r>
      </w:hyperlink>
      <w:r>
        <w:t>.</w:t>
      </w:r>
    </w:p>
  </w:footnote>
  <w:footnote w:id="8">
    <w:p w14:paraId="427EBFB3" w14:textId="77777777" w:rsidR="00802F15" w:rsidRPr="008D5936" w:rsidRDefault="00802F15" w:rsidP="00802F15">
      <w:pPr>
        <w:pStyle w:val="FootnoteText"/>
      </w:pPr>
      <w:r>
        <w:rPr>
          <w:rStyle w:val="FootnoteReference"/>
        </w:rPr>
        <w:footnoteRef/>
      </w:r>
      <w:r>
        <w:tab/>
        <w:t xml:space="preserve">Ascione, F.R., Shapiro, K., «People and animals, kindness and cruelty: research directions and policy implications» [As pessoas e os animais: da bondade à crueldade – pistas de investigação e implicações para a elaboração de políticas]. </w:t>
      </w:r>
      <w:r>
        <w:rPr>
          <w:i/>
        </w:rPr>
        <w:t>Journal of Social Issues</w:t>
      </w:r>
      <w:r>
        <w:t xml:space="preserve"> (2009) 65:569–87. doi: 10.1111/j.1540-4560.2009.01614.x </w:t>
      </w:r>
      <w:hyperlink r:id="rId8" w:history="1">
        <w:r>
          <w:rPr>
            <w:rStyle w:val="Hyperlink"/>
          </w:rPr>
          <w:t>https://spssi.onlineli</w:t>
        </w:r>
        <w:r>
          <w:rPr>
            <w:rStyle w:val="Hyperlink"/>
          </w:rPr>
          <w:t>brary.wiley.com/doi/10.1111/j.1540-4560.2009.01614.x</w:t>
        </w:r>
      </w:hyperlink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A8D70" w14:textId="77777777" w:rsidR="00574C9B" w:rsidRDefault="00F877B4">
    <w:pPr>
      <w:pStyle w:val="Header"/>
    </w:pPr>
    <w:r>
      <w:pict w14:anchorId="4326DB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6638594" o:spid="_x0000_s2055" type="#_x0000_t75" style="position:absolute;left:0;text-align:left;margin-left:0;margin-top:0;width:598.15pt;height:843.9pt;z-index:-251655168;mso-position-horizontal:center;mso-position-horizontal-relative:margin;mso-position-vertical:center;mso-position-vertical-relative:margin" o:allowincell="f">
          <v:imagedata r:id="rId1" o:title="background watermark with foot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CBCC4" w14:textId="72916327" w:rsidR="00574C9B" w:rsidRDefault="00CF1D1D">
    <w:pPr>
      <w:pStyle w:val="Header"/>
    </w:pPr>
    <w:r>
      <w:rPr>
        <w:noProof/>
      </w:rPr>
      <w:drawing>
        <wp:anchor distT="0" distB="0" distL="114300" distR="114300" simplePos="0" relativeHeight="251665408" behindDoc="0" locked="0" layoutInCell="1" allowOverlap="1" wp14:anchorId="3F6612DA" wp14:editId="78410CB5">
          <wp:simplePos x="0" y="0"/>
          <wp:positionH relativeFrom="page">
            <wp:align>center</wp:align>
          </wp:positionH>
          <wp:positionV relativeFrom="page">
            <wp:posOffset>288290</wp:posOffset>
          </wp:positionV>
          <wp:extent cx="6944360" cy="3343275"/>
          <wp:effectExtent l="0" t="0" r="8890" b="9525"/>
          <wp:wrapNone/>
          <wp:docPr id="1" name="Picture 1" title="EESCLogo2021_P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title="EESCLogo2021_P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4360" cy="3343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7B4">
      <w:pict w14:anchorId="587A3A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6638595" o:spid="_x0000_s2056" type="#_x0000_t75" style="position:absolute;left:0;text-align:left;margin-left:0;margin-top:0;width:598.15pt;height:843.9pt;z-index:-251654144;mso-position-horizontal:center;mso-position-horizontal-relative:page;mso-position-vertical:center;mso-position-vertical-relative:page" o:allowincell="f">
          <v:imagedata r:id="rId2" o:title="background watermark with footer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41428" w14:textId="77777777" w:rsidR="00574C9B" w:rsidRDefault="00F877B4">
    <w:pPr>
      <w:pStyle w:val="Header"/>
    </w:pPr>
    <w:r>
      <w:pict w14:anchorId="6428CC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6638593" o:spid="_x0000_s2054" type="#_x0000_t75" style="position:absolute;left:0;text-align:left;margin-left:0;margin-top:0;width:598.15pt;height:843.9pt;z-index:-251656192;mso-position-horizontal:center;mso-position-horizontal-relative:margin;mso-position-vertical:center;mso-position-vertical-relative:margin" o:allowincell="f">
          <v:imagedata r:id="rId1" o:title="background watermark with footer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29C47" w14:textId="77777777" w:rsidR="00574C9B" w:rsidRDefault="00F877B4">
    <w:pPr>
      <w:pStyle w:val="Header"/>
    </w:pPr>
    <w:r>
      <w:pict w14:anchorId="0C4937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6638597" o:spid="_x0000_s2058" type="#_x0000_t75" style="position:absolute;left:0;text-align:left;margin-left:0;margin-top:0;width:598.15pt;height:843.9pt;z-index:-251652096;mso-position-horizontal:center;mso-position-horizontal-relative:margin;mso-position-vertical:center;mso-position-vertical-relative:margin" o:allowincell="f">
          <v:imagedata r:id="rId1" o:title="background watermark with footer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54D4C" w14:textId="77777777" w:rsidR="00574C9B" w:rsidRDefault="00574C9B">
    <w:pPr>
      <w:pStyle w:val="Header"/>
    </w:pPr>
    <w:r>
      <w:rPr>
        <w:noProof/>
      </w:rPr>
      <w:drawing>
        <wp:anchor distT="0" distB="0" distL="114300" distR="114300" simplePos="0" relativeHeight="251661824" behindDoc="1" locked="0" layoutInCell="1" allowOverlap="1" wp14:anchorId="6FEF49D4" wp14:editId="49F0425A">
          <wp:simplePos x="0" y="0"/>
          <wp:positionH relativeFrom="page">
            <wp:posOffset>-10571</wp:posOffset>
          </wp:positionH>
          <wp:positionV relativeFrom="page">
            <wp:posOffset>-221993</wp:posOffset>
          </wp:positionV>
          <wp:extent cx="7581265" cy="10898802"/>
          <wp:effectExtent l="0" t="0" r="63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ckground (footer) rect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107" cy="10904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8DF3C" w14:textId="77777777" w:rsidR="00574C9B" w:rsidRDefault="00F877B4">
    <w:pPr>
      <w:pStyle w:val="Header"/>
    </w:pPr>
    <w:r>
      <w:pict w14:anchorId="212E45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6638596" o:spid="_x0000_s2057" type="#_x0000_t75" style="position:absolute;left:0;text-align:left;margin-left:0;margin-top:0;width:598.15pt;height:843.9pt;z-index:-251653120;mso-position-horizontal:center;mso-position-horizontal-relative:margin;mso-position-vertical:center;mso-position-vertical-relative:margin" o:allowincell="f">
          <v:imagedata r:id="rId1" o:title="background watermark with footer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1BE8B" w14:textId="77777777" w:rsidR="00FA08F8" w:rsidRDefault="00F877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2DDCE010"/>
    <w:lvl w:ilvl="0">
      <w:start w:val="1"/>
      <w:numFmt w:val="decimal"/>
      <w:pStyle w:val="Heading1"/>
      <w:lvlText w:val="%1."/>
      <w:legacy w:legacy="1" w:legacySpace="0" w:legacyIndent="0"/>
      <w:lvlJc w:val="left"/>
      <w:rPr>
        <w:b w:val="0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370"/>
    <w:rsid w:val="00020389"/>
    <w:rsid w:val="00053D00"/>
    <w:rsid w:val="000A0F3B"/>
    <w:rsid w:val="0019231D"/>
    <w:rsid w:val="001A1645"/>
    <w:rsid w:val="001D61AC"/>
    <w:rsid w:val="001E15AA"/>
    <w:rsid w:val="001E3FA1"/>
    <w:rsid w:val="001E6645"/>
    <w:rsid w:val="00200E87"/>
    <w:rsid w:val="002029DC"/>
    <w:rsid w:val="00214BDC"/>
    <w:rsid w:val="00215E81"/>
    <w:rsid w:val="0024727F"/>
    <w:rsid w:val="00260986"/>
    <w:rsid w:val="002B6A7B"/>
    <w:rsid w:val="002C0867"/>
    <w:rsid w:val="002C661B"/>
    <w:rsid w:val="002E10AF"/>
    <w:rsid w:val="003353D7"/>
    <w:rsid w:val="003659F9"/>
    <w:rsid w:val="003F1BBD"/>
    <w:rsid w:val="00480BF2"/>
    <w:rsid w:val="00574C9B"/>
    <w:rsid w:val="0058411F"/>
    <w:rsid w:val="005D19D7"/>
    <w:rsid w:val="006125A1"/>
    <w:rsid w:val="0064453E"/>
    <w:rsid w:val="00653E7D"/>
    <w:rsid w:val="00662207"/>
    <w:rsid w:val="00667F09"/>
    <w:rsid w:val="006B57A6"/>
    <w:rsid w:val="006C56B3"/>
    <w:rsid w:val="006D53A6"/>
    <w:rsid w:val="00712B1D"/>
    <w:rsid w:val="00787837"/>
    <w:rsid w:val="00787ABB"/>
    <w:rsid w:val="007B6C64"/>
    <w:rsid w:val="007C7B31"/>
    <w:rsid w:val="00802F15"/>
    <w:rsid w:val="00822952"/>
    <w:rsid w:val="00830130"/>
    <w:rsid w:val="00836505"/>
    <w:rsid w:val="00837564"/>
    <w:rsid w:val="00844B87"/>
    <w:rsid w:val="0089251B"/>
    <w:rsid w:val="00896490"/>
    <w:rsid w:val="008A6DD4"/>
    <w:rsid w:val="008F74D7"/>
    <w:rsid w:val="00904C42"/>
    <w:rsid w:val="00924C05"/>
    <w:rsid w:val="00937CF2"/>
    <w:rsid w:val="00976645"/>
    <w:rsid w:val="00976F77"/>
    <w:rsid w:val="0098228C"/>
    <w:rsid w:val="009B6311"/>
    <w:rsid w:val="009E2100"/>
    <w:rsid w:val="00A36AB0"/>
    <w:rsid w:val="00AB35B6"/>
    <w:rsid w:val="00AB37A3"/>
    <w:rsid w:val="00AC5114"/>
    <w:rsid w:val="00AD0DCE"/>
    <w:rsid w:val="00B25683"/>
    <w:rsid w:val="00B2662A"/>
    <w:rsid w:val="00B3435E"/>
    <w:rsid w:val="00B51901"/>
    <w:rsid w:val="00BB057E"/>
    <w:rsid w:val="00BD50F6"/>
    <w:rsid w:val="00BE2B55"/>
    <w:rsid w:val="00C073E1"/>
    <w:rsid w:val="00C12D23"/>
    <w:rsid w:val="00C25647"/>
    <w:rsid w:val="00C31518"/>
    <w:rsid w:val="00C66AEA"/>
    <w:rsid w:val="00C76E54"/>
    <w:rsid w:val="00C9040A"/>
    <w:rsid w:val="00C908BB"/>
    <w:rsid w:val="00C91E4D"/>
    <w:rsid w:val="00CB110A"/>
    <w:rsid w:val="00CB7CD0"/>
    <w:rsid w:val="00CF1D1D"/>
    <w:rsid w:val="00D039AF"/>
    <w:rsid w:val="00D223E8"/>
    <w:rsid w:val="00D75146"/>
    <w:rsid w:val="00D95232"/>
    <w:rsid w:val="00DB7F50"/>
    <w:rsid w:val="00DE30C7"/>
    <w:rsid w:val="00DF400F"/>
    <w:rsid w:val="00E15BF4"/>
    <w:rsid w:val="00E2376B"/>
    <w:rsid w:val="00E26935"/>
    <w:rsid w:val="00E27707"/>
    <w:rsid w:val="00E52B04"/>
    <w:rsid w:val="00E661B7"/>
    <w:rsid w:val="00E86517"/>
    <w:rsid w:val="00EA546D"/>
    <w:rsid w:val="00EE079A"/>
    <w:rsid w:val="00F2069F"/>
    <w:rsid w:val="00F37606"/>
    <w:rsid w:val="00F53370"/>
    <w:rsid w:val="00F6105E"/>
    <w:rsid w:val="00F877B4"/>
    <w:rsid w:val="00F90BE2"/>
    <w:rsid w:val="00FA4111"/>
    <w:rsid w:val="00FC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  <w14:docId w14:val="5ED84871"/>
  <w15:chartTrackingRefBased/>
  <w15:docId w15:val="{D381F634-0C15-4454-8DBD-75C4E885C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C9B"/>
    <w:pPr>
      <w:spacing w:after="0" w:line="288" w:lineRule="auto"/>
      <w:jc w:val="both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qFormat/>
    <w:rsid w:val="00F53370"/>
    <w:pPr>
      <w:numPr>
        <w:numId w:val="1"/>
      </w:numPr>
      <w:ind w:left="567" w:hanging="567"/>
      <w:outlineLvl w:val="0"/>
    </w:pPr>
    <w:rPr>
      <w:kern w:val="28"/>
    </w:rPr>
  </w:style>
  <w:style w:type="paragraph" w:styleId="Heading2">
    <w:name w:val="heading 2"/>
    <w:basedOn w:val="Normal"/>
    <w:next w:val="Normal"/>
    <w:link w:val="Heading2Char"/>
    <w:qFormat/>
    <w:rsid w:val="00F53370"/>
    <w:pPr>
      <w:numPr>
        <w:ilvl w:val="1"/>
        <w:numId w:val="1"/>
      </w:numPr>
      <w:ind w:left="567" w:hanging="567"/>
      <w:outlineLvl w:val="1"/>
    </w:pPr>
  </w:style>
  <w:style w:type="paragraph" w:styleId="Heading3">
    <w:name w:val="heading 3"/>
    <w:basedOn w:val="Normal"/>
    <w:next w:val="Normal"/>
    <w:link w:val="Heading3Char"/>
    <w:qFormat/>
    <w:rsid w:val="00F53370"/>
    <w:pPr>
      <w:numPr>
        <w:ilvl w:val="2"/>
        <w:numId w:val="1"/>
      </w:numPr>
      <w:ind w:left="567" w:hanging="567"/>
      <w:outlineLvl w:val="2"/>
    </w:pPr>
  </w:style>
  <w:style w:type="paragraph" w:styleId="Heading4">
    <w:name w:val="heading 4"/>
    <w:basedOn w:val="Normal"/>
    <w:next w:val="Normal"/>
    <w:link w:val="Heading4Char"/>
    <w:qFormat/>
    <w:rsid w:val="00F53370"/>
    <w:pPr>
      <w:numPr>
        <w:ilvl w:val="3"/>
        <w:numId w:val="1"/>
      </w:numPr>
      <w:ind w:left="567" w:hanging="567"/>
      <w:outlineLvl w:val="3"/>
    </w:pPr>
  </w:style>
  <w:style w:type="paragraph" w:styleId="Heading5">
    <w:name w:val="heading 5"/>
    <w:basedOn w:val="Normal"/>
    <w:next w:val="Normal"/>
    <w:link w:val="Heading5Char"/>
    <w:qFormat/>
    <w:rsid w:val="00F53370"/>
    <w:pPr>
      <w:numPr>
        <w:ilvl w:val="4"/>
        <w:numId w:val="1"/>
      </w:numPr>
      <w:ind w:left="567" w:hanging="567"/>
      <w:outlineLvl w:val="4"/>
    </w:pPr>
  </w:style>
  <w:style w:type="paragraph" w:styleId="Heading6">
    <w:name w:val="heading 6"/>
    <w:basedOn w:val="Normal"/>
    <w:next w:val="Normal"/>
    <w:link w:val="Heading6Char"/>
    <w:qFormat/>
    <w:rsid w:val="00F53370"/>
    <w:pPr>
      <w:numPr>
        <w:ilvl w:val="5"/>
        <w:numId w:val="1"/>
      </w:numPr>
      <w:ind w:left="567" w:hanging="567"/>
      <w:outlineLvl w:val="5"/>
    </w:pPr>
  </w:style>
  <w:style w:type="paragraph" w:styleId="Heading7">
    <w:name w:val="heading 7"/>
    <w:basedOn w:val="Normal"/>
    <w:next w:val="Normal"/>
    <w:link w:val="Heading7Char"/>
    <w:qFormat/>
    <w:rsid w:val="00F53370"/>
    <w:pPr>
      <w:numPr>
        <w:ilvl w:val="6"/>
        <w:numId w:val="1"/>
      </w:numPr>
      <w:ind w:left="567" w:hanging="567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F53370"/>
    <w:pPr>
      <w:numPr>
        <w:ilvl w:val="7"/>
        <w:numId w:val="1"/>
      </w:numPr>
      <w:ind w:left="567" w:hanging="567"/>
      <w:outlineLvl w:val="7"/>
    </w:pPr>
  </w:style>
  <w:style w:type="paragraph" w:styleId="Heading9">
    <w:name w:val="heading 9"/>
    <w:basedOn w:val="Normal"/>
    <w:next w:val="Normal"/>
    <w:link w:val="Heading9Char"/>
    <w:qFormat/>
    <w:rsid w:val="00F53370"/>
    <w:pPr>
      <w:numPr>
        <w:ilvl w:val="8"/>
        <w:numId w:val="1"/>
      </w:numPr>
      <w:ind w:left="567" w:hanging="567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3370"/>
    <w:rPr>
      <w:rFonts w:ascii="Times New Roman" w:eastAsia="Times New Roman" w:hAnsi="Times New Roman" w:cs="Times New Roman"/>
      <w:kern w:val="28"/>
    </w:rPr>
  </w:style>
  <w:style w:type="character" w:customStyle="1" w:styleId="Heading2Char">
    <w:name w:val="Heading 2 Char"/>
    <w:basedOn w:val="DefaultParagraphFont"/>
    <w:link w:val="Heading2"/>
    <w:rsid w:val="00F53370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rsid w:val="00F53370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rsid w:val="00F53370"/>
    <w:rPr>
      <w:rFonts w:ascii="Times New Roman" w:eastAsia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rsid w:val="00F53370"/>
    <w:rPr>
      <w:rFonts w:ascii="Times New Roman" w:eastAsia="Times New Roman" w:hAnsi="Times New Roman" w:cs="Times New Roman"/>
    </w:rPr>
  </w:style>
  <w:style w:type="character" w:customStyle="1" w:styleId="Heading6Char">
    <w:name w:val="Heading 6 Char"/>
    <w:basedOn w:val="DefaultParagraphFont"/>
    <w:link w:val="Heading6"/>
    <w:rsid w:val="00F53370"/>
    <w:rPr>
      <w:rFonts w:ascii="Times New Roman" w:eastAsia="Times New Roman" w:hAnsi="Times New Roman" w:cs="Times New Roman"/>
    </w:rPr>
  </w:style>
  <w:style w:type="character" w:customStyle="1" w:styleId="Heading7Char">
    <w:name w:val="Heading 7 Char"/>
    <w:basedOn w:val="DefaultParagraphFont"/>
    <w:link w:val="Heading7"/>
    <w:rsid w:val="00F53370"/>
    <w:rPr>
      <w:rFonts w:ascii="Times New Roman" w:eastAsia="Times New Roman" w:hAnsi="Times New Roman" w:cs="Times New Roman"/>
    </w:rPr>
  </w:style>
  <w:style w:type="character" w:customStyle="1" w:styleId="Heading8Char">
    <w:name w:val="Heading 8 Char"/>
    <w:basedOn w:val="DefaultParagraphFont"/>
    <w:link w:val="Heading8"/>
    <w:rsid w:val="00F53370"/>
    <w:rPr>
      <w:rFonts w:ascii="Times New Roman" w:eastAsia="Times New Roman" w:hAnsi="Times New Roman" w:cs="Times New Roman"/>
    </w:rPr>
  </w:style>
  <w:style w:type="character" w:customStyle="1" w:styleId="Heading9Char">
    <w:name w:val="Heading 9 Char"/>
    <w:basedOn w:val="DefaultParagraphFont"/>
    <w:link w:val="Heading9"/>
    <w:rsid w:val="00F5337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qFormat/>
    <w:rsid w:val="00F53370"/>
  </w:style>
  <w:style w:type="character" w:customStyle="1" w:styleId="FooterChar">
    <w:name w:val="Footer Char"/>
    <w:basedOn w:val="DefaultParagraphFont"/>
    <w:link w:val="Footer"/>
    <w:rsid w:val="00F53370"/>
    <w:rPr>
      <w:rFonts w:ascii="Times New Roman" w:eastAsia="Times New Roman" w:hAnsi="Times New Roman" w:cs="Times New Roman"/>
    </w:rPr>
  </w:style>
  <w:style w:type="paragraph" w:styleId="FootnoteText">
    <w:name w:val="footnote text"/>
    <w:basedOn w:val="Normal"/>
    <w:link w:val="FootnoteTextChar"/>
    <w:qFormat/>
    <w:rsid w:val="00F53370"/>
    <w:pPr>
      <w:keepLines/>
      <w:spacing w:after="60" w:line="240" w:lineRule="auto"/>
      <w:ind w:left="567" w:hanging="567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rsid w:val="00F53370"/>
    <w:rPr>
      <w:rFonts w:ascii="Times New Roman" w:eastAsia="Times New Roman" w:hAnsi="Times New Roman" w:cs="Times New Roman"/>
      <w:sz w:val="16"/>
    </w:rPr>
  </w:style>
  <w:style w:type="paragraph" w:styleId="Header">
    <w:name w:val="header"/>
    <w:basedOn w:val="Normal"/>
    <w:link w:val="HeaderChar"/>
    <w:qFormat/>
    <w:rsid w:val="00F53370"/>
  </w:style>
  <w:style w:type="character" w:customStyle="1" w:styleId="HeaderChar">
    <w:name w:val="Header Char"/>
    <w:basedOn w:val="DefaultParagraphFont"/>
    <w:link w:val="Header"/>
    <w:rsid w:val="00F53370"/>
    <w:rPr>
      <w:rFonts w:ascii="Times New Roman" w:eastAsia="Times New Roman" w:hAnsi="Times New Roman" w:cs="Times New Roman"/>
    </w:rPr>
  </w:style>
  <w:style w:type="paragraph" w:customStyle="1" w:styleId="quotes">
    <w:name w:val="quotes"/>
    <w:basedOn w:val="Normal"/>
    <w:next w:val="Normal"/>
    <w:rsid w:val="00F53370"/>
    <w:pPr>
      <w:ind w:left="720"/>
    </w:pPr>
    <w:rPr>
      <w:i/>
    </w:rPr>
  </w:style>
  <w:style w:type="character" w:styleId="FootnoteReference">
    <w:name w:val="footnote reference"/>
    <w:aliases w:val="Footnote symbol"/>
    <w:basedOn w:val="DefaultParagraphFont"/>
    <w:unhideWhenUsed/>
    <w:qFormat/>
    <w:rsid w:val="00F53370"/>
    <w:rPr>
      <w:sz w:val="24"/>
      <w:vertAlign w:val="superscript"/>
    </w:rPr>
  </w:style>
  <w:style w:type="table" w:styleId="TableGrid">
    <w:name w:val="Table Grid"/>
    <w:basedOn w:val="TableNormal"/>
    <w:uiPriority w:val="39"/>
    <w:rsid w:val="00F53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8A6DD4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76F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6F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6F77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6F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6F7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76F77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F77"/>
    <w:pPr>
      <w:spacing w:line="240" w:lineRule="auto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F77"/>
    <w:rPr>
      <w:rFonts w:ascii="Segoe UI" w:eastAsia="Times New Roman" w:hAnsi="Segoe UI" w:cs="Times New Roman"/>
      <w:sz w:val="18"/>
      <w:szCs w:val="18"/>
    </w:rPr>
  </w:style>
  <w:style w:type="table" w:customStyle="1" w:styleId="TableGrid1">
    <w:name w:val="Table Grid1"/>
    <w:basedOn w:val="TableNormal"/>
    <w:next w:val="TableGrid"/>
    <w:rsid w:val="00D223E8"/>
    <w:pPr>
      <w:spacing w:after="0" w:line="288" w:lineRule="auto"/>
      <w:jc w:val="both"/>
    </w:pPr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E66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26" Type="http://schemas.openxmlformats.org/officeDocument/2006/relationships/customXml" Target="../customXml/item2.xml"/><Relationship Id="rId21" Type="http://schemas.openxmlformats.org/officeDocument/2006/relationships/header" Target="header7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customXml" Target="../customXml/item1.xml"/><Relationship Id="rId16" Type="http://schemas.openxmlformats.org/officeDocument/2006/relationships/footer" Target="footer3.xml"/><Relationship Id="rId20" Type="http://schemas.openxmlformats.org/officeDocument/2006/relationships/header" Target="header6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28" Type="http://schemas.openxmlformats.org/officeDocument/2006/relationships/customXml" Target="../customXml/item4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5.xml"/><Relationship Id="rId27" Type="http://schemas.openxmlformats.org/officeDocument/2006/relationships/customXml" Target="../customXml/item3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spssi.onlinelibrary.wiley.com/doi/10.1111/j.1540-4560.2009.01614.x" TargetMode="External"/><Relationship Id="rId3" Type="http://schemas.openxmlformats.org/officeDocument/2006/relationships/hyperlink" Target="https://pubmed.ncbi.nlm.nih.gov/15702685/" TargetMode="External"/><Relationship Id="rId7" Type="http://schemas.openxmlformats.org/officeDocument/2006/relationships/hyperlink" Target="https://pubmed.ncbi.nlm.nih.gov/25000794/" TargetMode="External"/><Relationship Id="rId2" Type="http://schemas.openxmlformats.org/officeDocument/2006/relationships/hyperlink" Target="https://doc.woah.org/dyn/portal/index.xhtml?page=alo&amp;aloId=30460" TargetMode="External"/><Relationship Id="rId1" Type="http://schemas.openxmlformats.org/officeDocument/2006/relationships/hyperlink" Target="https://pubmed.ncbi.nlm.nih.gov/20378871/" TargetMode="External"/><Relationship Id="rId6" Type="http://schemas.openxmlformats.org/officeDocument/2006/relationships/hyperlink" Target="https://journals.plos.org/plosone/article?id=10.1371/journal.pone.0243302" TargetMode="External"/><Relationship Id="rId5" Type="http://schemas.openxmlformats.org/officeDocument/2006/relationships/hyperlink" Target="https://www.jstor.org/stable/352019?origin=crossref" TargetMode="External"/><Relationship Id="rId4" Type="http://schemas.openxmlformats.org/officeDocument/2006/relationships/hyperlink" Target="https://pubmed.ncbi.nlm.nih.gov/34199669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59ace41b-6786-4ce3-be71-52c27066c6ef">F7M6YNZUATRX-416430479-6728</_dlc_DocId>
    <_dlc_DocIdUrl xmlns="59ace41b-6786-4ce3-be71-52c27066c6ef">
      <Url>http://dm/eesc/2024/_layouts/15/DocIdRedir.aspx?ID=F7M6YNZUATRX-416430479-6728</Url>
      <Description>F7M6YNZUATRX-416430479-6728</Description>
    </_dlc_DocIdUrl>
    <Procedure xmlns="59ace41b-6786-4ce3-be71-52c27066c6ef">2023/0447(COD)</Procedure>
    <DocumentType_0 xmlns="http://schemas.microsoft.com/sharepoint/v3/fields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</TermName>
          <TermId xmlns="http://schemas.microsoft.com/office/infopath/2007/PartnerControls">a4cc1d15-fb08-4679-ad46-e4e0cba5fe92</TermId>
        </TermInfo>
      </Terms>
    </DocumentType_0>
    <DocumentSource_0 xmlns="http://schemas.microsoft.com/sharepoint/v3/fields">
      <Terms xmlns="http://schemas.microsoft.com/office/infopath/2007/PartnerControls">
        <TermInfo xmlns="http://schemas.microsoft.com/office/infopath/2007/PartnerControls">
          <TermName xmlns="http://schemas.microsoft.com/office/infopath/2007/PartnerControls">EESC</TermName>
          <TermId xmlns="http://schemas.microsoft.com/office/infopath/2007/PartnerControls">422833ec-8d7e-4e65-8e4e-8bed07ffb729</TermId>
        </TermInfo>
      </Terms>
    </DocumentSource_0>
    <ProductionDate xmlns="59ace41b-6786-4ce3-be71-52c27066c6ef">2024-04-02T12:00:00+00:00</ProductionDate>
    <DocumentNumber xmlns="1178e5e2-058a-41a1-9851-331c7b3fffb8">532</DocumentNumber>
    <FicheYear xmlns="59ace41b-6786-4ce3-be71-52c27066c6ef" xsi:nil="true"/>
    <DossierNumber xmlns="59ace41b-6786-4ce3-be71-52c27066c6ef">922</DossierNumber>
    <Confidentiality_0 xmlns="http://schemas.microsoft.com/sharepoint/v3/fields">
      <Terms xmlns="http://schemas.microsoft.com/office/infopath/2007/PartnerControls">
        <TermInfo xmlns="http://schemas.microsoft.com/office/infopath/2007/PartnerControls">
          <TermName xmlns="http://schemas.microsoft.com/office/infopath/2007/PartnerControls">Unrestricted</TermName>
          <TermId xmlns="http://schemas.microsoft.com/office/infopath/2007/PartnerControls">826e22d7-d029-4ec0-a450-0c28ff673572</TermId>
        </TermInfo>
      </Terms>
    </Confidentiality_0>
    <MeetingDate xmlns="59ace41b-6786-4ce3-be71-52c27066c6ef" xsi:nil="true"/>
    <TaxCatchAll xmlns="59ace41b-6786-4ce3-be71-52c27066c6ef">
      <Value>72</Value>
      <Value>43</Value>
      <Value>37</Value>
      <Value>36</Value>
      <Value>35</Value>
      <Value>34</Value>
      <Value>33</Value>
      <Value>32</Value>
      <Value>31</Value>
      <Value>30</Value>
      <Value>29</Value>
      <Value>28</Value>
      <Value>27</Value>
      <Value>26</Value>
      <Value>25</Value>
      <Value>24</Value>
      <Value>23</Value>
      <Value>22</Value>
      <Value>21</Value>
      <Value>18</Value>
      <Value>17</Value>
      <Value>16</Value>
      <Value>14</Value>
      <Value>12</Value>
      <Value>8</Value>
      <Value>6</Value>
      <Value>5</Value>
      <Value>3</Value>
      <Value>2</Value>
      <Value>1</Value>
    </TaxCatchAll>
    <DocumentLanguage_0 xmlns="http://schemas.microsoft.com/sharepoint/v3/fields">
      <Terms xmlns="http://schemas.microsoft.com/office/infopath/2007/PartnerControls">
        <TermInfo xmlns="http://schemas.microsoft.com/office/infopath/2007/PartnerControls">
          <TermName xmlns="http://schemas.microsoft.com/office/infopath/2007/PartnerControls">PT</TermName>
          <TermId xmlns="http://schemas.microsoft.com/office/infopath/2007/PartnerControls">50ccc04a-eadd-42ae-a0cb-acaf45f812ba</TermId>
        </TermInfo>
      </Terms>
    </DocumentLanguage_0>
    <VersionStatus_0 xmlns="http://schemas.microsoft.com/sharepoint/v3/fields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Final</TermName>
          <TermId xmlns="http://schemas.microsoft.com/office/infopath/2007/PartnerControls">ea5e6674-7b27-4bac-b091-73adbb394efe</TermId>
        </TermInfo>
      </Terms>
    </VersionStatus_0>
    <Rapporteur xmlns="59ace41b-6786-4ce3-be71-52c27066c6ef" xsi:nil="true"/>
    <DocumentYear xmlns="59ace41b-6786-4ce3-be71-52c27066c6ef">2024</DocumentYear>
    <FicheNumber xmlns="59ace41b-6786-4ce3-be71-52c27066c6ef">3553</FicheNumber>
    <OriginalSender xmlns="59ace41b-6786-4ce3-be71-52c27066c6ef">
      <UserInfo>
        <DisplayName>Rubano Noroes Silvana</DisplayName>
        <AccountId>1622</AccountId>
        <AccountType/>
      </UserInfo>
    </OriginalSender>
    <DocumentPart xmlns="59ace41b-6786-4ce3-be71-52c27066c6ef">0</DocumentPart>
    <AdoptionDate xmlns="59ace41b-6786-4ce3-be71-52c27066c6ef">2024-03-20T23:00:00+00:00</AdoptionDate>
    <RequestingService xmlns="59ace41b-6786-4ce3-be71-52c27066c6ef">Systèmes alimentaires durables, environnement, dév. rural</RequestingService>
    <MeetingName_0 xmlns="http://schemas.microsoft.com/sharepoint/v3/fields">
      <Terms xmlns="http://schemas.microsoft.com/office/infopath/2007/PartnerControls"/>
    </MeetingName_0>
    <AvailableTranslations_0 xmlns="http://schemas.microsoft.com/sharepoint/v3/fields">
      <Terms xmlns="http://schemas.microsoft.com/office/infopath/2007/PartnerControls">
        <TermInfo xmlns="http://schemas.microsoft.com/office/infopath/2007/PartnerControls">
          <TermName xmlns="http://schemas.microsoft.com/office/infopath/2007/PartnerControls">FR</TermName>
          <TermId xmlns="http://schemas.microsoft.com/office/infopath/2007/PartnerControls">d2afafd3-4c81-4f60-8f52-ee33f2f54ff3</TermId>
        </TermInfo>
        <TermInfo xmlns="http://schemas.microsoft.com/office/infopath/2007/PartnerControls">
          <TermName xmlns="http://schemas.microsoft.com/office/infopath/2007/PartnerControls">HU</TermName>
          <TermId xmlns="http://schemas.microsoft.com/office/infopath/2007/PartnerControls">6b229040-c589-4408-b4c1-4285663d20a8</TermId>
        </TermInfo>
        <TermInfo xmlns="http://schemas.microsoft.com/office/infopath/2007/PartnerControls">
          <TermName xmlns="http://schemas.microsoft.com/office/infopath/2007/PartnerControls">ES</TermName>
          <TermId xmlns="http://schemas.microsoft.com/office/infopath/2007/PartnerControls">e7a6b05b-ae16-40c8-add9-68b64b03aeba</TermId>
        </TermInfo>
        <TermInfo xmlns="http://schemas.microsoft.com/office/infopath/2007/PartnerControls">
          <TermName xmlns="http://schemas.microsoft.com/office/infopath/2007/PartnerControls">PT</TermName>
          <TermId xmlns="http://schemas.microsoft.com/office/infopath/2007/PartnerControls">50ccc04a-eadd-42ae-a0cb-acaf45f812ba</TermId>
        </TermInfo>
        <TermInfo xmlns="http://schemas.microsoft.com/office/infopath/2007/PartnerControls">
          <TermName xmlns="http://schemas.microsoft.com/office/infopath/2007/PartnerControls">RO</TermName>
          <TermId xmlns="http://schemas.microsoft.com/office/infopath/2007/PartnerControls">feb747a2-64cd-4299-af12-4833ddc30497</TermId>
        </TermInfo>
        <TermInfo xmlns="http://schemas.microsoft.com/office/infopath/2007/PartnerControls">
          <TermName xmlns="http://schemas.microsoft.com/office/infopath/2007/PartnerControls">CS</TermName>
          <TermId xmlns="http://schemas.microsoft.com/office/infopath/2007/PartnerControls">72f9705b-0217-4fd3-bea2-cbc7ed80e26e</TermId>
        </TermInfo>
        <TermInfo xmlns="http://schemas.microsoft.com/office/infopath/2007/PartnerControls">
          <TermName xmlns="http://schemas.microsoft.com/office/infopath/2007/PartnerControls">EN</TermName>
          <TermId xmlns="http://schemas.microsoft.com/office/infopath/2007/PartnerControls">f2175f21-25d7-44a3-96da-d6a61b075e1b</TermId>
        </TermInfo>
        <TermInfo xmlns="http://schemas.microsoft.com/office/infopath/2007/PartnerControls">
          <TermName xmlns="http://schemas.microsoft.com/office/infopath/2007/PartnerControls">DA</TermName>
          <TermId xmlns="http://schemas.microsoft.com/office/infopath/2007/PartnerControls">5d49c027-8956-412b-aa16-e85a0f96ad0e</TermId>
        </TermInfo>
        <TermInfo xmlns="http://schemas.microsoft.com/office/infopath/2007/PartnerControls">
          <TermName xmlns="http://schemas.microsoft.com/office/infopath/2007/PartnerControls">IT</TermName>
          <TermId xmlns="http://schemas.microsoft.com/office/infopath/2007/PartnerControls">0774613c-01ed-4e5d-a25d-11d2388de825</TermId>
        </TermInfo>
        <TermInfo xmlns="http://schemas.microsoft.com/office/infopath/2007/PartnerControls">
          <TermName xmlns="http://schemas.microsoft.com/office/infopath/2007/PartnerControls">SL</TermName>
          <TermId xmlns="http://schemas.microsoft.com/office/infopath/2007/PartnerControls">98a412ae-eb01-49e9-ae3d-585a81724cfc</TermId>
        </TermInfo>
        <TermInfo xmlns="http://schemas.microsoft.com/office/infopath/2007/PartnerControls">
          <TermName xmlns="http://schemas.microsoft.com/office/infopath/2007/PartnerControls">SK</TermName>
          <TermId xmlns="http://schemas.microsoft.com/office/infopath/2007/PartnerControls">46d9fce0-ef79-4f71-b89b-cd6aa82426b8</TermId>
        </TermInfo>
        <TermInfo xmlns="http://schemas.microsoft.com/office/infopath/2007/PartnerControls">
          <TermName xmlns="http://schemas.microsoft.com/office/infopath/2007/PartnerControls">BG</TermName>
          <TermId xmlns="http://schemas.microsoft.com/office/infopath/2007/PartnerControls">1a1b3951-7821-4e6a-85f5-5673fc08bd2c</TermId>
        </TermInfo>
        <TermInfo xmlns="http://schemas.microsoft.com/office/infopath/2007/PartnerControls">
          <TermName xmlns="http://schemas.microsoft.com/office/infopath/2007/PartnerControls">GA</TermName>
          <TermId xmlns="http://schemas.microsoft.com/office/infopath/2007/PartnerControls">762d2456-c427-4ecb-b312-af3dad8e258c</TermId>
        </TermInfo>
        <TermInfo xmlns="http://schemas.microsoft.com/office/infopath/2007/PartnerControls">
          <TermName xmlns="http://schemas.microsoft.com/office/infopath/2007/PartnerControls">SV</TermName>
          <TermId xmlns="http://schemas.microsoft.com/office/infopath/2007/PartnerControls">c2ed69e7-a339-43d7-8f22-d93680a92aa0</TermId>
        </TermInfo>
        <TermInfo xmlns="http://schemas.microsoft.com/office/infopath/2007/PartnerControls">
          <TermName xmlns="http://schemas.microsoft.com/office/infopath/2007/PartnerControls">LV</TermName>
          <TermId xmlns="http://schemas.microsoft.com/office/infopath/2007/PartnerControls">46f7e311-5d9f-4663-b433-18aeccb7ace7</TermId>
        </TermInfo>
        <TermInfo xmlns="http://schemas.microsoft.com/office/infopath/2007/PartnerControls">
          <TermName xmlns="http://schemas.microsoft.com/office/infopath/2007/PartnerControls">DE</TermName>
          <TermId xmlns="http://schemas.microsoft.com/office/infopath/2007/PartnerControls">f6b31e5a-26fa-4935-b661-318e46daf27e</TermId>
        </TermInfo>
        <TermInfo xmlns="http://schemas.microsoft.com/office/infopath/2007/PartnerControls">
          <TermName xmlns="http://schemas.microsoft.com/office/infopath/2007/PartnerControls">FI</TermName>
          <TermId xmlns="http://schemas.microsoft.com/office/infopath/2007/PartnerControls">87606a43-d45f-42d6-b8c9-e1a3457db5b7</TermId>
        </TermInfo>
        <TermInfo xmlns="http://schemas.microsoft.com/office/infopath/2007/PartnerControls">
          <TermName xmlns="http://schemas.microsoft.com/office/infopath/2007/PartnerControls">HR</TermName>
          <TermId xmlns="http://schemas.microsoft.com/office/infopath/2007/PartnerControls">2f555653-ed1a-4fe6-8362-9082d95989e5</TermId>
        </TermInfo>
        <TermInfo xmlns="http://schemas.microsoft.com/office/infopath/2007/PartnerControls">
          <TermName xmlns="http://schemas.microsoft.com/office/infopath/2007/PartnerControls">NL</TermName>
          <TermId xmlns="http://schemas.microsoft.com/office/infopath/2007/PartnerControls">55c6556c-b4f4-441d-9acf-c498d4f838bd</TermId>
        </TermInfo>
        <TermInfo xmlns="http://schemas.microsoft.com/office/infopath/2007/PartnerControls">
          <TermName xmlns="http://schemas.microsoft.com/office/infopath/2007/PartnerControls">EL</TermName>
          <TermId xmlns="http://schemas.microsoft.com/office/infopath/2007/PartnerControls">6d4f4d51-af9b-4650-94b4-4276bee85c91</TermId>
        </TermInfo>
        <TermInfo xmlns="http://schemas.microsoft.com/office/infopath/2007/PartnerControls">
          <TermName xmlns="http://schemas.microsoft.com/office/infopath/2007/PartnerControls">MT</TermName>
          <TermId xmlns="http://schemas.microsoft.com/office/infopath/2007/PartnerControls">7df99101-6854-4a26-b53a-b88c0da02c26</TermId>
        </TermInfo>
        <TermInfo xmlns="http://schemas.microsoft.com/office/infopath/2007/PartnerControls">
          <TermName xmlns="http://schemas.microsoft.com/office/infopath/2007/PartnerControls">PL</TermName>
          <TermId xmlns="http://schemas.microsoft.com/office/infopath/2007/PartnerControls">1e03da61-4678-4e07-b136-b5024ca9197b</TermId>
        </TermInfo>
        <TermInfo xmlns="http://schemas.microsoft.com/office/infopath/2007/PartnerControls">
          <TermName xmlns="http://schemas.microsoft.com/office/infopath/2007/PartnerControls">ET</TermName>
          <TermId xmlns="http://schemas.microsoft.com/office/infopath/2007/PartnerControls">ff6c3f4c-b02c-4c3c-ab07-2c37995a7a0a</TermId>
        </TermInfo>
        <TermInfo xmlns="http://schemas.microsoft.com/office/infopath/2007/PartnerControls">
          <TermName xmlns="http://schemas.microsoft.com/office/infopath/2007/PartnerControls">LT</TermName>
          <TermId xmlns="http://schemas.microsoft.com/office/infopath/2007/PartnerControls">a7ff5ce7-6123-4f68-865a-a57c31810414</TermId>
        </TermInfo>
      </Terms>
    </AvailableTranslations_0>
    <DocumentStatus_0 xmlns="http://schemas.microsoft.com/sharepoint/v3/fields">
      <Terms xmlns="http://schemas.microsoft.com/office/infopath/2007/PartnerControls">
        <TermInfo xmlns="http://schemas.microsoft.com/office/infopath/2007/PartnerControls">
          <TermName xmlns="http://schemas.microsoft.com/office/infopath/2007/PartnerControls">TRA</TermName>
          <TermId xmlns="http://schemas.microsoft.com/office/infopath/2007/PartnerControls">150d2a88-1431-44e6-a8ca-0bb753ab8672</TermId>
        </TermInfo>
      </Terms>
    </DocumentStatus_0>
    <OriginalLanguage_0 xmlns="http://schemas.microsoft.com/sharepoint/v3/fields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</TermName>
          <TermId xmlns="http://schemas.microsoft.com/office/infopath/2007/PartnerControls">f2175f21-25d7-44a3-96da-d6a61b075e1b</TermId>
        </TermInfo>
      </Terms>
    </OriginalLanguage_0>
    <MeetingNumber xmlns="1178e5e2-058a-41a1-9851-331c7b3fffb8" xsi:nil="true"/>
    <DossierName_0 xmlns="http://schemas.microsoft.com/sharepoint/v3/fields">
      <Terms xmlns="http://schemas.microsoft.com/office/infopath/2007/PartnerControls">
        <TermInfo xmlns="http://schemas.microsoft.com/office/infopath/2007/PartnerControls">
          <TermName xmlns="http://schemas.microsoft.com/office/infopath/2007/PartnerControls">NAT</TermName>
          <TermId xmlns="http://schemas.microsoft.com/office/infopath/2007/PartnerControls">b263ab5d-0564-42a8-87bf-1cc57d938922</TermId>
        </TermInfo>
      </Terms>
    </DossierName_0>
    <DocumentVersion xmlns="59ace41b-6786-4ce3-be71-52c27066c6ef">2</DocumentVersion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M Document" ma:contentTypeID="0x010100EA97B91038054C99906057A708A1480A00E20A70424F8EF14D84929FAE9E34774B" ma:contentTypeVersion="4" ma:contentTypeDescription="Defines the documents for Document Manager V2" ma:contentTypeScope="" ma:versionID="3c88e340e370a402dfed352137800822">
  <xsd:schema xmlns:xsd="http://www.w3.org/2001/XMLSchema" xmlns:xs="http://www.w3.org/2001/XMLSchema" xmlns:p="http://schemas.microsoft.com/office/2006/metadata/properties" xmlns:ns2="59ace41b-6786-4ce3-be71-52c27066c6ef" xmlns:ns3="http://schemas.microsoft.com/sharepoint/v3/fields" xmlns:ns4="1178e5e2-058a-41a1-9851-331c7b3fffb8" targetNamespace="http://schemas.microsoft.com/office/2006/metadata/properties" ma:root="true" ma:fieldsID="cff03e2a422031f7afb63180aa455c21" ns2:_="" ns3:_="" ns4:_="">
    <xsd:import namespace="59ace41b-6786-4ce3-be71-52c27066c6ef"/>
    <xsd:import namespace="http://schemas.microsoft.com/sharepoint/v3/fields"/>
    <xsd:import namespace="1178e5e2-058a-41a1-9851-331c7b3fffb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ProductionDate" minOccurs="0"/>
                <xsd:element ref="ns2:OriginalSender" minOccurs="0"/>
                <xsd:element ref="ns3:DocumentLanguage_0" minOccurs="0"/>
                <xsd:element ref="ns2:DossierNumber" minOccurs="0"/>
                <xsd:element ref="ns4:MeetingNumber" minOccurs="0"/>
                <xsd:element ref="ns2:Rapporteur" minOccurs="0"/>
                <xsd:element ref="ns2:AdoptionDate" minOccurs="0"/>
                <xsd:element ref="ns3:Confidentiality_0" minOccurs="0"/>
                <xsd:element ref="ns2:TaxCatchAll" minOccurs="0"/>
                <xsd:element ref="ns2:TaxCatchAllLabel" minOccurs="0"/>
                <xsd:element ref="ns3:DocumentSource_0" minOccurs="0"/>
                <xsd:element ref="ns4:DocumentNumber" minOccurs="0"/>
                <xsd:element ref="ns2:MeetingDate" minOccurs="0"/>
                <xsd:element ref="ns3:OriginalLanguage_0" minOccurs="0"/>
                <xsd:element ref="ns2:Procedure" minOccurs="0"/>
                <xsd:element ref="ns3:VersionStatus_0" minOccurs="0"/>
                <xsd:element ref="ns3:DocumentStatus_0" minOccurs="0"/>
                <xsd:element ref="ns2:DocumentYear"/>
                <xsd:element ref="ns3:DocumentType_0" minOccurs="0"/>
                <xsd:element ref="ns2:DocumentPart" minOccurs="0"/>
                <xsd:element ref="ns3:MeetingName_0" minOccurs="0"/>
                <xsd:element ref="ns3:AvailableTranslations_0" minOccurs="0"/>
                <xsd:element ref="ns2:FicheYear" minOccurs="0"/>
                <xsd:element ref="ns2:RequestingService" minOccurs="0"/>
                <xsd:element ref="ns2:FicheNumber" minOccurs="0"/>
                <xsd:element ref="ns3:DossierName_0" minOccurs="0"/>
                <xsd:element ref="ns2:Document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ace41b-6786-4ce3-be71-52c27066c6e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ProductionDate" ma:index="12" nillable="true" ma:displayName="Production Date" ma:format="DateOnly" ma:internalName="ProductionDate">
      <xsd:simpleType>
        <xsd:restriction base="dms:DateTime"/>
      </xsd:simpleType>
    </xsd:element>
    <xsd:element name="OriginalSender" ma:index="13" nillable="true" ma:displayName="Original Sender" ma:internalName="OriginalSend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ssierNumber" ma:index="15" nillable="true" ma:displayName="Dossier Number" ma:decimals="0" ma:internalName="DossierNumber">
      <xsd:simpleType>
        <xsd:restriction base="dms:Unknown"/>
      </xsd:simpleType>
    </xsd:element>
    <xsd:element name="Rapporteur" ma:index="17" nillable="true" ma:displayName="Rapporteur" ma:internalName="Rapporteur">
      <xsd:simpleType>
        <xsd:restriction base="dms:Text"/>
      </xsd:simpleType>
    </xsd:element>
    <xsd:element name="AdoptionDate" ma:index="18" nillable="true" ma:displayName="Adoption Date" ma:format="DateOnly" ma:internalName="AdoptionDate">
      <xsd:simpleType>
        <xsd:restriction base="dms:DateTime"/>
      </xsd:simpleType>
    </xsd:element>
    <xsd:element name="TaxCatchAll" ma:index="20" nillable="true" ma:displayName="Taxonomy Catch All Column" ma:hidden="true" ma:list="{e2fb5ba9-5e53-4066-9f9c-cd35b339bd62}" ma:internalName="TaxCatchAll" ma:showField="CatchAllData" ma:web="59ace41b-6786-4ce3-be71-52c27066c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1" nillable="true" ma:displayName="Taxonomy Catch All Column1" ma:hidden="true" ma:list="{e2fb5ba9-5e53-4066-9f9c-cd35b339bd62}" ma:internalName="TaxCatchAllLabel" ma:readOnly="true" ma:showField="CatchAllDataLabel" ma:web="59ace41b-6786-4ce3-be71-52c27066c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eetingDate" ma:index="26" nillable="true" ma:displayName="Meeting Date" ma:format="DateOnly" ma:internalName="MeetingDate">
      <xsd:simpleType>
        <xsd:restriction base="dms:DateTime"/>
      </xsd:simpleType>
    </xsd:element>
    <xsd:element name="Procedure" ma:index="29" nillable="true" ma:displayName="Procedure" ma:internalName="Procedure">
      <xsd:simpleType>
        <xsd:restriction base="dms:Text"/>
      </xsd:simpleType>
    </xsd:element>
    <xsd:element name="DocumentYear" ma:index="34" ma:displayName="Document Year" ma:decimals="0" ma:internalName="DocumentYear">
      <xsd:simpleType>
        <xsd:restriction base="dms:Unknown"/>
      </xsd:simpleType>
    </xsd:element>
    <xsd:element name="DocumentPart" ma:index="37" nillable="true" ma:displayName="Document Part" ma:decimals="0" ma:internalName="DocumentPart">
      <xsd:simpleType>
        <xsd:restriction base="dms:Unknown"/>
      </xsd:simpleType>
    </xsd:element>
    <xsd:element name="FicheYear" ma:index="42" nillable="true" ma:displayName="Fiche Year" ma:decimals="0" ma:internalName="FicheYear">
      <xsd:simpleType>
        <xsd:restriction base="dms:Unknown"/>
      </xsd:simpleType>
    </xsd:element>
    <xsd:element name="RequestingService" ma:index="43" nillable="true" ma:displayName="Requesting Service" ma:internalName="RequestingService">
      <xsd:simpleType>
        <xsd:restriction base="dms:Text"/>
      </xsd:simpleType>
    </xsd:element>
    <xsd:element name="FicheNumber" ma:index="44" nillable="true" ma:displayName="Fiche Number" ma:decimals="0" ma:internalName="FicheNumber">
      <xsd:simpleType>
        <xsd:restriction base="dms:Unknown"/>
      </xsd:simpleType>
    </xsd:element>
    <xsd:element name="DocumentVersion" ma:index="47" nillable="true" ma:displayName="Document Version" ma:decimals="0" ma:internalName="DocumentVersion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DocumentLanguage_0" ma:index="14" nillable="true" ma:taxonomy="true" ma:internalName="DocumentLanguage_0" ma:taxonomyFieldName="DocumentLanguage" ma:displayName="Document Language" ma:fieldId="{ee5c55ab-e8dd-441f-8840-fdce66906fe3}" ma:sspId="5004ddca-ed1a-45fa-b2df-508b3c5dfc98" ma:termSetId="3e8d1f59-71f7-428c-bd68-e1e655ad544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onfidentiality_0" ma:index="19" nillable="true" ma:taxonomy="true" ma:internalName="Confidentiality_0" ma:taxonomyFieldName="Confidentiality" ma:displayName="Confidentiality" ma:fieldId="{ee5c4bfe-2b62-4831-9131-22edf8f3665c}" ma:sspId="5004ddca-ed1a-45fa-b2df-508b3c5dfc98" ma:termSetId="11d040ac-3a9a-4d4c-b9cf-922342a701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ocumentSource_0" ma:index="23" ma:taxonomy="true" ma:internalName="DocumentSource_0" ma:taxonomyFieldName="DocumentSource" ma:displayName="Document Source" ma:fieldId="{ee5c1c29-f257-4aae-8e5e-529c0040e17a}" ma:sspId="5004ddca-ed1a-45fa-b2df-508b3c5dfc98" ma:termSetId="ca143256-a90d-4d26-b249-02646b17c0c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riginalLanguage_0" ma:index="27" nillable="true" ma:taxonomy="true" ma:internalName="OriginalLanguage_0" ma:taxonomyFieldName="OriginalLanguage" ma:displayName="Original Language" ma:fieldId="{ee5ce750-ff6c-4875-8192-ef11fb51efba}" ma:taxonomyMulti="true" ma:sspId="5004ddca-ed1a-45fa-b2df-508b3c5dfc98" ma:termSetId="3e8d1f59-71f7-428c-bd68-e1e655ad544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VersionStatus_0" ma:index="30" ma:taxonomy="true" ma:internalName="VersionStatus_0" ma:taxonomyFieldName="VersionStatus" ma:displayName="Version Status" ma:indexed="true" ma:fieldId="{ee5cb94b-3df1-4df3-b49b-6e47ce2a7e87}" ma:sspId="5004ddca-ed1a-45fa-b2df-508b3c5dfc98" ma:termSetId="adeca67b-2bdd-4d0f-b3af-a690b4c6d9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ocumentStatus_0" ma:index="32" nillable="true" ma:taxonomy="true" ma:internalName="DocumentStatus_0" ma:taxonomyFieldName="DocumentStatus" ma:displayName="Document Status" ma:fieldId="{ee5cab93-ac4d-4e2f-b298-e5342324388c}" ma:sspId="5004ddca-ed1a-45fa-b2df-508b3c5dfc98" ma:termSetId="54b85ca4-9023-4cbf-8e96-81af7735228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ocumentType_0" ma:index="35" nillable="true" ma:taxonomy="true" ma:internalName="DocumentType_0" ma:taxonomyFieldName="DocumentType" ma:displayName="Document Type" ma:indexed="true" ma:fieldId="{ee5cf431-2d10-41e6-bd88-1b6bd5b84f5f}" ma:sspId="5004ddca-ed1a-45fa-b2df-508b3c5dfc98" ma:termSetId="67a76952-94e0-437b-9a60-5085083dde0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etingName_0" ma:index="38" nillable="true" ma:taxonomy="true" ma:internalName="MeetingName_0" ma:taxonomyFieldName="MeetingName" ma:displayName="Meeting Name" ma:indexed="true" ma:fieldId="{ee5c9b55-8403-4f9e-a156-b6ce5b7b9456}" ma:sspId="5004ddca-ed1a-45fa-b2df-508b3c5dfc98" ma:termSetId="a04e9634-de73-4a41-8cb5-e1efdb89060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vailableTranslations_0" ma:index="40" nillable="true" ma:taxonomy="true" ma:internalName="AvailableTranslations_0" ma:taxonomyFieldName="AvailableTranslations" ma:displayName="Available Translations" ma:fieldId="{ee5c7c01-1a65-4138-aa64-80e01e34d799}" ma:taxonomyMulti="true" ma:sspId="5004ddca-ed1a-45fa-b2df-508b3c5dfc98" ma:termSetId="3e8d1f59-71f7-428c-bd68-e1e655ad544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ossierName_0" ma:index="45" nillable="true" ma:taxonomy="true" ma:internalName="DossierName_0" ma:taxonomyFieldName="DossierName" ma:displayName="Dossier Name" ma:fieldId="{ee5cf7da-503b-4593-8db2-4f0e09c901fd}" ma:sspId="5004ddca-ed1a-45fa-b2df-508b3c5dfc98" ma:termSetId="2b392f04-1222-4352-87c1-6fd60ec33b64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8e5e2-058a-41a1-9851-331c7b3fffb8" elementFormDefault="qualified">
    <xsd:import namespace="http://schemas.microsoft.com/office/2006/documentManagement/types"/>
    <xsd:import namespace="http://schemas.microsoft.com/office/infopath/2007/PartnerControls"/>
    <xsd:element name="MeetingNumber" ma:index="16" nillable="true" ma:displayName="Meeting Number" ma:decimals="0" ma:indexed="true" ma:internalName="MeetingNumber">
      <xsd:simpleType>
        <xsd:restriction base="dms:Unknown"/>
      </xsd:simpleType>
    </xsd:element>
    <xsd:element name="DocumentNumber" ma:index="25" nillable="true" ma:displayName="Document Number" ma:decimals="0" ma:indexed="true" ma:internalName="DocumentNumber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FDE4EA-0A77-4A6F-8C3C-C33735668241}"/>
</file>

<file path=customXml/itemProps2.xml><?xml version="1.0" encoding="utf-8"?>
<ds:datastoreItem xmlns:ds="http://schemas.openxmlformats.org/officeDocument/2006/customXml" ds:itemID="{B2BC0A7C-C8BF-42D3-909D-36252A72BC24}"/>
</file>

<file path=customXml/itemProps3.xml><?xml version="1.0" encoding="utf-8"?>
<ds:datastoreItem xmlns:ds="http://schemas.openxmlformats.org/officeDocument/2006/customXml" ds:itemID="{B91F29A4-C5BF-469F-ADF1-8F31038E254D}"/>
</file>

<file path=customXml/itemProps4.xml><?xml version="1.0" encoding="utf-8"?>
<ds:datastoreItem xmlns:ds="http://schemas.openxmlformats.org/officeDocument/2006/customXml" ds:itemID="{1FFFDFB0-09DD-430B-97E3-A0A49D69BD5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1962</Words>
  <Characters>11189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AC-Cover page - Opinion Committee - EESC revised model</vt:lpstr>
    </vt:vector>
  </TitlesOfParts>
  <Company>CESE-CdR</Company>
  <LinksUpToDate>false</LinksUpToDate>
  <CharactersWithSpaces>13125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Regulamento relativo ao bem-estar dos cães e dos gatos e à respetiva rastreabilidade</dc:title>
  <dc:subject>AC</dc:subject>
  <dc:creator>Francois Aude</dc:creator>
  <cp:keywords>EESC-2024-00532-00-02-AC-TRA-EN</cp:keywords>
  <dc:description>Rapporteur:  - Original language: EN - Date of document: 02/04/2024 - Date of meeting:  - External documents: COM(2023)769- final - Administrator: M. INIGUEZ YUSTE Arturo José</dc:description>
  <cp:lastModifiedBy>Rubano Noroes Silvana</cp:lastModifiedBy>
  <cp:revision>10</cp:revision>
  <dcterms:created xsi:type="dcterms:W3CDTF">2024-04-02T06:53:00Z</dcterms:created>
  <dcterms:modified xsi:type="dcterms:W3CDTF">2024-04-02T07:18:00Z</dcterms:modified>
  <cp:category>NAT/922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f_formatted">
    <vt:bool>true</vt:bool>
  </property>
  <property fmtid="{D5CDD505-2E9C-101B-9397-08002B2CF9AE}" pid="3" name="Pref_Date">
    <vt:lpwstr>02/04/2024, 25/03/2024, 25/03/2024, 17/05/2022</vt:lpwstr>
  </property>
  <property fmtid="{D5CDD505-2E9C-101B-9397-08002B2CF9AE}" pid="4" name="Pref_Time">
    <vt:lpwstr>08:53:38, 14:53:53, 09:48:00, 14:58:36</vt:lpwstr>
  </property>
  <property fmtid="{D5CDD505-2E9C-101B-9397-08002B2CF9AE}" pid="5" name="Pref_User">
    <vt:lpwstr>pacup, pacup, pacup, enied</vt:lpwstr>
  </property>
  <property fmtid="{D5CDD505-2E9C-101B-9397-08002B2CF9AE}" pid="6" name="Pref_FileName">
    <vt:lpwstr>EESC-2024-00532-00-02-AC-TRA.docx, EESC-2024-00532-00-01-AC-TRA.docx, EESC-2024-00532-00-00-AC-TRA-EN-CRR.docx, COR-EESC-2022-02592-00-00-ADMIN-ORI.docx</vt:lpwstr>
  </property>
  <property fmtid="{D5CDD505-2E9C-101B-9397-08002B2CF9AE}" pid="7" name="ContentTypeId">
    <vt:lpwstr>0x010100EA97B91038054C99906057A708A1480A00E20A70424F8EF14D84929FAE9E34774B</vt:lpwstr>
  </property>
  <property fmtid="{D5CDD505-2E9C-101B-9397-08002B2CF9AE}" pid="8" name="_dlc_DocIdItemGuid">
    <vt:lpwstr>9b0a03ba-f87b-4d63-a720-3f381d0fb2c2</vt:lpwstr>
  </property>
  <property fmtid="{D5CDD505-2E9C-101B-9397-08002B2CF9AE}" pid="9" name="Procedure">
    <vt:lpwstr>2023/0447(COD)</vt:lpwstr>
  </property>
  <property fmtid="{D5CDD505-2E9C-101B-9397-08002B2CF9AE}" pid="10" name="AvailableTranslations">
    <vt:lpwstr>14;#FR|d2afafd3-4c81-4f60-8f52-ee33f2f54ff3;#32;#HU|6b229040-c589-4408-b4c1-4285663d20a8;#24;#ES|e7a6b05b-ae16-40c8-add9-68b64b03aeba;#36;#PT|50ccc04a-eadd-42ae-a0cb-acaf45f812ba;#37;#RO|feb747a2-64cd-4299-af12-4833ddc30497;#43;#CS|72f9705b-0217-4fd3-bea2-cbc7ed80e26e;#5;#EN|f2175f21-25d7-44a3-96da-d6a61b075e1b;#16;#DA|5d49c027-8956-412b-aa16-e85a0f96ad0e;#12;#IT|0774613c-01ed-4e5d-a25d-11d2388de825;#27;#SL|98a412ae-eb01-49e9-ae3d-585a81724cfc;#26;#SK|46d9fce0-ef79-4f71-b89b-cd6aa82426b8;#22;#BG|1a1b3951-7821-4e6a-85f5-5673fc08bd2c;#18;#GA|762d2456-c427-4ecb-b312-af3dad8e258c;#21;#SV|c2ed69e7-a339-43d7-8f22-d93680a92aa0;#28;#LV|46f7e311-5d9f-4663-b433-18aeccb7ace7;#25;#DE|f6b31e5a-26fa-4935-b661-318e46daf27e;#35;#FI|87606a43-d45f-42d6-b8c9-e1a3457db5b7;#30;#HR|2f555653-ed1a-4fe6-8362-9082d95989e5;#31;#NL|55c6556c-b4f4-441d-9acf-c498d4f838bd;#29;#EL|6d4f4d51-af9b-4650-94b4-4276bee85c91;#23;#MT|7df99101-6854-4a26-b53a-b88c0da02c26;#17;#PL|1e03da61-4678-4e07-b136-b5024ca9197b;#33;#ET|ff6c3f4c-b02c-4c3c-ab07-2c37995a7a0a;#34;#LT|a7ff5ce7-6123-4f68-865a-a57c31810414</vt:lpwstr>
  </property>
  <property fmtid="{D5CDD505-2E9C-101B-9397-08002B2CF9AE}" pid="11" name="DocumentType_0">
    <vt:lpwstr>AC|a4cc1d15-fb08-4679-ad46-e4e0cba5fe92</vt:lpwstr>
  </property>
  <property fmtid="{D5CDD505-2E9C-101B-9397-08002B2CF9AE}" pid="12" name="DossierName_0">
    <vt:lpwstr>NAT|b263ab5d-0564-42a8-87bf-1cc57d938922</vt:lpwstr>
  </property>
  <property fmtid="{D5CDD505-2E9C-101B-9397-08002B2CF9AE}" pid="13" name="DocumentSource_0">
    <vt:lpwstr>EESC|422833ec-8d7e-4e65-8e4e-8bed07ffb729</vt:lpwstr>
  </property>
  <property fmtid="{D5CDD505-2E9C-101B-9397-08002B2CF9AE}" pid="14" name="DocumentNumber">
    <vt:i4>532</vt:i4>
  </property>
  <property fmtid="{D5CDD505-2E9C-101B-9397-08002B2CF9AE}" pid="15" name="DocumentVersion">
    <vt:i4>2</vt:i4>
  </property>
  <property fmtid="{D5CDD505-2E9C-101B-9397-08002B2CF9AE}" pid="16" name="DossierNumber">
    <vt:i4>922</vt:i4>
  </property>
  <property fmtid="{D5CDD505-2E9C-101B-9397-08002B2CF9AE}" pid="17" name="DocumentStatus">
    <vt:lpwstr>3;#TRA|150d2a88-1431-44e6-a8ca-0bb753ab8672</vt:lpwstr>
  </property>
  <property fmtid="{D5CDD505-2E9C-101B-9397-08002B2CF9AE}" pid="18" name="DossierName">
    <vt:lpwstr>2;#NAT|b263ab5d-0564-42a8-87bf-1cc57d938922</vt:lpwstr>
  </property>
  <property fmtid="{D5CDD505-2E9C-101B-9397-08002B2CF9AE}" pid="19" name="RequestingService">
    <vt:lpwstr>Systèmes alimentaires durables, environnement, dév. rural</vt:lpwstr>
  </property>
  <property fmtid="{D5CDD505-2E9C-101B-9397-08002B2CF9AE}" pid="20" name="Confidentiality">
    <vt:lpwstr>6;#Unrestricted|826e22d7-d029-4ec0-a450-0c28ff673572</vt:lpwstr>
  </property>
  <property fmtid="{D5CDD505-2E9C-101B-9397-08002B2CF9AE}" pid="21" name="MeetingName_0">
    <vt:lpwstr/>
  </property>
  <property fmtid="{D5CDD505-2E9C-101B-9397-08002B2CF9AE}" pid="22" name="Confidentiality_0">
    <vt:lpwstr>Unrestricted|826e22d7-d029-4ec0-a450-0c28ff673572</vt:lpwstr>
  </property>
  <property fmtid="{D5CDD505-2E9C-101B-9397-08002B2CF9AE}" pid="23" name="OriginalLanguage">
    <vt:lpwstr>5;#EN|f2175f21-25d7-44a3-96da-d6a61b075e1b</vt:lpwstr>
  </property>
  <property fmtid="{D5CDD505-2E9C-101B-9397-08002B2CF9AE}" pid="24" name="MeetingName">
    <vt:lpwstr/>
  </property>
  <property fmtid="{D5CDD505-2E9C-101B-9397-08002B2CF9AE}" pid="26" name="AvailableTranslations_0">
    <vt:lpwstr/>
  </property>
  <property fmtid="{D5CDD505-2E9C-101B-9397-08002B2CF9AE}" pid="27" name="DocumentStatus_0">
    <vt:lpwstr>TRA|150d2a88-1431-44e6-a8ca-0bb753ab8672</vt:lpwstr>
  </property>
  <property fmtid="{D5CDD505-2E9C-101B-9397-08002B2CF9AE}" pid="28" name="OriginalLanguage_0">
    <vt:lpwstr>EN|f2175f21-25d7-44a3-96da-d6a61b075e1b</vt:lpwstr>
  </property>
  <property fmtid="{D5CDD505-2E9C-101B-9397-08002B2CF9AE}" pid="29" name="TaxCatchAll">
    <vt:lpwstr>8;#Final|ea5e6674-7b27-4bac-b091-73adbb394efe;#6;#Unrestricted|826e22d7-d029-4ec0-a450-0c28ff673572;#5;#EN|f2175f21-25d7-44a3-96da-d6a61b075e1b;#72;#AC|a4cc1d15-fb08-4679-ad46-e4e0cba5fe92;#3;#TRA|150d2a88-1431-44e6-a8ca-0bb753ab8672;#2;#NAT|b263ab5d-0564-42a8-87bf-1cc57d938922;#1;#EESC|422833ec-8d7e-4e65-8e4e-8bed07ffb729</vt:lpwstr>
  </property>
  <property fmtid="{D5CDD505-2E9C-101B-9397-08002B2CF9AE}" pid="30" name="VersionStatus_0">
    <vt:lpwstr>Final|ea5e6674-7b27-4bac-b091-73adbb394efe</vt:lpwstr>
  </property>
  <property fmtid="{D5CDD505-2E9C-101B-9397-08002B2CF9AE}" pid="31" name="VersionStatus">
    <vt:lpwstr>8;#Final|ea5e6674-7b27-4bac-b091-73adbb394efe</vt:lpwstr>
  </property>
  <property fmtid="{D5CDD505-2E9C-101B-9397-08002B2CF9AE}" pid="32" name="DocumentYear">
    <vt:i4>2024</vt:i4>
  </property>
  <property fmtid="{D5CDD505-2E9C-101B-9397-08002B2CF9AE}" pid="33" name="FicheNumber">
    <vt:i4>3553</vt:i4>
  </property>
  <property fmtid="{D5CDD505-2E9C-101B-9397-08002B2CF9AE}" pid="34" name="DocumentPart">
    <vt:i4>0</vt:i4>
  </property>
  <property fmtid="{D5CDD505-2E9C-101B-9397-08002B2CF9AE}" pid="35" name="DocumentSource">
    <vt:lpwstr>1;#EESC|422833ec-8d7e-4e65-8e4e-8bed07ffb729</vt:lpwstr>
  </property>
  <property fmtid="{D5CDD505-2E9C-101B-9397-08002B2CF9AE}" pid="36" name="AdoptionDate">
    <vt:filetime>2024-03-21T12:00:00Z</vt:filetime>
  </property>
  <property fmtid="{D5CDD505-2E9C-101B-9397-08002B2CF9AE}" pid="37" name="DocumentType">
    <vt:lpwstr>72;#AC|a4cc1d15-fb08-4679-ad46-e4e0cba5fe92</vt:lpwstr>
  </property>
  <property fmtid="{D5CDD505-2E9C-101B-9397-08002B2CF9AE}" pid="38" name="DocumentLanguage">
    <vt:lpwstr>36;#PT|50ccc04a-eadd-42ae-a0cb-acaf45f812ba</vt:lpwstr>
  </property>
  <property fmtid="{D5CDD505-2E9C-101B-9397-08002B2CF9AE}" pid="39" name="_docset_NoMedatataSyncRequired">
    <vt:lpwstr>False</vt:lpwstr>
  </property>
</Properties>
</file>