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RESUMO ANALÍTICO DE COMENTÁRIOS</w:t>
      </w:r>
    </w:p>
    <w:p>
      <w:pPr>
        <w:jc w:val="center"/>
      </w:pPr>
      <w:r>
        <w:rPr>
          <w:i/>
          <w:sz w:val="24"/>
        </w:rPr>
        <w:t>Análise de Preocupações e Relações Normativas</w:t>
      </w:r>
    </w:p>
    <w:p>
      <w:r>
        <w:rPr>
          <w:b/>
        </w:rPr>
        <w:t xml:space="preserve">Documento: </w:t>
      </w:r>
      <w:r>
        <w:t>RGBEAC_Análise 27out 2025 (MCB).docx</w:t>
        <w:br/>
      </w:r>
      <w:r>
        <w:rPr>
          <w:b/>
        </w:rPr>
        <w:t xml:space="preserve">Data de análise: </w:t>
      </w:r>
      <w:r>
        <w:t>22/03/2026</w:t>
        <w:br/>
      </w:r>
      <w:r>
        <w:rPr>
          <w:b/>
        </w:rPr>
        <w:t xml:space="preserve">Total de comentários: </w:t>
      </w:r>
      <w:r>
        <w:t>252</w:t>
        <w:br/>
      </w:r>
      <w:r>
        <w:rPr>
          <w:b/>
        </w:rPr>
        <w:t xml:space="preserve">Período: </w:t>
      </w:r>
      <w:r>
        <w:t>17 de julho a 30 de outubro de 2025</w:t>
      </w:r>
    </w:p>
    <w:p/>
    <w:p>
      <w:pPr>
        <w:pStyle w:val="Heading1"/>
      </w:pPr>
      <w:r>
        <w:t>1. RESUMO EXECUTIVO</w:t>
      </w:r>
    </w:p>
    <w:p>
      <w:pPr/>
      <w:r>
        <w:t>Os 252 comentários contidos no documento de análise refletem discussões técnicas, jurídicas e operacionais entre stakeholders sobre a implementação do Regime Geral do Bem-Estar dos Animais de Companhia (RGBEAC).</w:t>
      </w:r>
    </w:p>
    <w:p/>
    <w:p>
      <w:pPr/>
      <w:r>
        <w:t>As preocupações principais concentram-se em três áreas:</w:t>
      </w:r>
    </w:p>
    <w:p>
      <w:pPr/>
      <w:r>
        <w:t xml:space="preserve">  • Clarificação de definições e conceitos legais (particularmente sobre centros de recolha e estruturas de acolhimento)</w:t>
      </w:r>
    </w:p>
    <w:p>
      <w:pPr/>
      <w:r>
        <w:t xml:space="preserve">  • Harmonização com legislação europeia (Regulamento 2023/0447 e legislação sanitária)</w:t>
      </w:r>
    </w:p>
    <w:p>
      <w:pPr/>
      <w:r>
        <w:t xml:space="preserve">  • Implementação operacional e distribuição de competências entre autoridades</w:t>
      </w:r>
    </w:p>
    <w:p/>
    <w:p>
      <w:pPr/>
      <w:r>
        <w:t>O RGBEAC apresenta-se como instrumento de consolidação normativa que recolhe dispersão legislativa anterior, alinhando a legislação portuguesa com os princípios europeus de bem-estar animal (Five Freedoms/WOAH).</w:t>
      </w:r>
    </w:p>
    <w:p/>
    <w:p>
      <w:pPr>
        <w:pStyle w:val="Heading1"/>
      </w:pPr>
      <w:r>
        <w:t>2. INTENÇÃO DO RGBEAC (CONFORME PREÂMBULO)</w:t>
      </w:r>
    </w:p>
    <w:p>
      <w:pPr/>
      <w:r>
        <w:t>O preâmbulo do RGBEAC estabelece os seguintes objetivos fundamentais:</w:t>
      </w:r>
    </w:p>
    <w:p/>
    <w:p>
      <w:pPr/>
      <w:r>
        <w:t>Consolidação normativa: Eliminar a dispersão legislativa que caracterizava o ordenamento português anterior, integrando múltiplos decretos-leis em regime único.</w:t>
      </w:r>
    </w:p>
    <w:p/>
    <w:p>
      <w:pPr/>
      <w:r>
        <w:t>Evolução social: Reconhecer a importância crescente dos animais de companhia nas famílias portuguesas, com base em legislação europeia (Diretiva 2010/63/UE, Lei 8/2017 PT sobre estatuto jurídico dos animais).</w:t>
      </w:r>
    </w:p>
    <w:p/>
    <w:p>
      <w:pPr/>
      <w:r>
        <w:t>Princípios de proteção: Implementar as Cinco Liberdades (WOAH) como base material das obrigações, incluindo:</w:t>
      </w:r>
    </w:p>
    <w:p>
      <w:pPr>
        <w:pStyle w:val="ListBullet"/>
      </w:pPr>
      <w:r>
        <w:t>1. Liberdade de fome e sede</w:t>
      </w:r>
    </w:p>
    <w:p>
      <w:pPr>
        <w:pStyle w:val="ListBullet"/>
      </w:pPr>
      <w:r>
        <w:t>2. Liberdade de desconforto</w:t>
      </w:r>
    </w:p>
    <w:p>
      <w:pPr>
        <w:pStyle w:val="ListBullet"/>
      </w:pPr>
      <w:r>
        <w:t>3. Liberdade de dor, lesão e doença</w:t>
      </w:r>
    </w:p>
    <w:p>
      <w:pPr>
        <w:pStyle w:val="ListBullet"/>
      </w:pPr>
      <w:r>
        <w:t>4. Liberdade de medo e angústia</w:t>
      </w:r>
    </w:p>
    <w:p>
      <w:pPr>
        <w:pStyle w:val="ListBullet"/>
      </w:pPr>
      <w:r>
        <w:t>5. Liberdade de expressão de comportamentos naturais</w:t>
      </w:r>
    </w:p>
    <w:p/>
    <w:p>
      <w:pPr/>
      <w:r>
        <w:t>Detenção responsável: Reforçar deveres dos detentores através de obrigações clarificadas e princípios de proteção.</w:t>
      </w:r>
    </w:p>
    <w:p/>
    <w:p>
      <w:pPr/>
      <w:r>
        <w:t>Inovações principais:</w:t>
      </w:r>
    </w:p>
    <w:p>
      <w:pPr>
        <w:pStyle w:val="ListBullet"/>
      </w:pPr>
      <w:r>
        <w:t>• Lista Nacional de Animais de Companhia (componente legal + componente regulamentada)</w:t>
      </w:r>
    </w:p>
    <w:p>
      <w:pPr>
        <w:pStyle w:val="ListBullet"/>
      </w:pPr>
      <w:r>
        <w:t>• Alargamento do âmbito de aplicação</w:t>
      </w:r>
    </w:p>
    <w:p>
      <w:pPr>
        <w:pStyle w:val="ListBullet"/>
      </w:pPr>
      <w:r>
        <w:t>• Clarificação de definições legais</w:t>
      </w:r>
    </w:p>
    <w:p>
      <w:pPr>
        <w:pStyle w:val="ListBullet"/>
      </w:pPr>
      <w:r>
        <w:t>• Renovação do regime de abandono, recolha, reprodução e adoção</w:t>
      </w:r>
    </w:p>
    <w:p>
      <w:pPr>
        <w:pStyle w:val="ListBullet"/>
      </w:pPr>
      <w:r>
        <w:t>• Integração de regime de animais perigosos (ex-DL 315/2009)</w:t>
      </w:r>
    </w:p>
    <w:p>
      <w:pPr>
        <w:pStyle w:val="ListBullet"/>
      </w:pPr>
      <w:r>
        <w:t>• Reforma contraordenacional com graduação de intensidade</w:t>
      </w:r>
    </w:p>
    <w:p/>
    <w:p>
      <w:pPr>
        <w:pStyle w:val="Heading1"/>
      </w:pPr>
      <w:r>
        <w:t>3. MAPEAMENTO DE PREOCUPAÇÕES POR TEMA</w:t>
      </w:r>
    </w:p>
    <w:p>
      <w:pPr>
        <w:pStyle w:val="Heading2"/>
      </w:pPr>
      <w:r>
        <w:t>Centros de recolha</w:t>
      </w:r>
    </w:p>
    <w:p>
      <w:r>
        <w:rPr>
          <w:b/>
        </w:rPr>
        <w:t xml:space="preserve">Eixo de harmonização: </w:t>
      </w:r>
      <w:r>
        <w:t>Alojamentos para Hospedagem</w:t>
      </w:r>
    </w:p>
    <w:p>
      <w:r>
        <w:rPr>
          <w:i/>
          <w:sz w:val="20"/>
        </w:rPr>
        <w:t>Comentários nesta categoria: 24</w:t>
      </w:r>
    </w:p>
    <w:p>
      <w:r>
        <w:rPr>
          <w:b/>
        </w:rPr>
        <w:t xml:space="preserve">Resumo: </w:t>
      </w:r>
      <w:r>
        <w:t>Debate sobre a distinção entre Centro de Recolha Oficial (CRO) e Centro de Bem-Estar Animal. Preocupação principal: evitar duplicação de funções e manter clareza nas competências sanitárias vs. bem-estar.</w:t>
      </w:r>
    </w:p>
    <w:p>
      <w:pPr>
        <w:pStyle w:val="Heading3"/>
      </w:pPr>
      <w:r>
        <w:t>Preocupações principais:</w:t>
      </w:r>
    </w:p>
    <w:p>
      <w:pPr>
        <w:pStyle w:val="ListBullet"/>
      </w:pPr>
      <w:r>
        <w:t>Necessidade de distinguir claramente entre CRO (função sanitária) e estruturas de bem-estar animal (função educativa/recuperação)</w:t>
      </w:r>
    </w:p>
    <w:p>
      <w:pPr>
        <w:pStyle w:val="ListBullet"/>
      </w:pPr>
      <w:r>
        <w:t>Designação única recomendada para evitar confusão operacional</w:t>
      </w:r>
    </w:p>
    <w:p>
      <w:pPr>
        <w:pStyle w:val="ListBullet"/>
      </w:pPr>
      <w:r>
        <w:t>Alinhamento com legislação sanitária existente (diplomas específicos)</w:t>
      </w:r>
    </w:p>
    <w:p>
      <w:pPr>
        <w:pStyle w:val="ListBullet"/>
      </w:pPr>
      <w:r>
        <w:t>Competências distribuídas entre múltiplas autoridades (município, saúde, etc.)</w:t>
      </w:r>
    </w:p>
    <w:p/>
    <w:p>
      <w:pPr>
        <w:pStyle w:val="Heading2"/>
      </w:pPr>
      <w:r>
        <w:t>Identificação e registo</w:t>
      </w:r>
    </w:p>
    <w:p>
      <w:r>
        <w:rPr>
          <w:b/>
        </w:rPr>
        <w:t xml:space="preserve">Eixo de harmonização: </w:t>
      </w:r>
      <w:r>
        <w:t>Rastreabilidade e Controlo Populacional</w:t>
      </w:r>
    </w:p>
    <w:p>
      <w:r>
        <w:rPr>
          <w:i/>
          <w:sz w:val="20"/>
        </w:rPr>
        <w:t>Comentários nesta categoria: 24</w:t>
      </w:r>
    </w:p>
    <w:p>
      <w:r>
        <w:rPr>
          <w:b/>
        </w:rPr>
        <w:t xml:space="preserve">Resumo: </w:t>
      </w:r>
      <w:r>
        <w:t>Harmonização de documentação de identificação (passaporte, microchip, tatuagem) com Regulamento 576/2013 e sistema SIAC/DIAC. Integração com passaporte digital.</w:t>
      </w:r>
    </w:p>
    <w:p>
      <w:pPr>
        <w:pStyle w:val="Heading3"/>
      </w:pPr>
      <w:r>
        <w:t>Preocupações principais:</w:t>
      </w:r>
    </w:p>
    <w:p>
      <w:pPr>
        <w:pStyle w:val="ListBullet"/>
      </w:pPr>
      <w:r>
        <w:t>Passaporte Animal de Companhia: formato físico/digital conforme Reg. 576/2013 e 577/2013</w:t>
      </w:r>
    </w:p>
    <w:p>
      <w:pPr>
        <w:pStyle w:val="ListBullet"/>
      </w:pPr>
      <w:r>
        <w:t>Sistema SIAC (Sistema de Identificação e Autenticação de Cães) e integração no DIAC (carteira digital)</w:t>
      </w:r>
    </w:p>
    <w:p>
      <w:pPr>
        <w:pStyle w:val="ListBullet"/>
      </w:pPr>
      <w:r>
        <w:t>Substituição de Boletim Sanitário (BS) por registos no SIAC</w:t>
      </w:r>
    </w:p>
    <w:p>
      <w:pPr>
        <w:pStyle w:val="ListBullet"/>
      </w:pPr>
      <w:r>
        <w:t>Requisitos sanitários alinhados com Regulamento 576/2013</w:t>
      </w:r>
    </w:p>
    <w:p/>
    <w:p>
      <w:pPr>
        <w:pStyle w:val="Heading2"/>
      </w:pPr>
      <w:r>
        <w:t>Reprodução</w:t>
      </w:r>
    </w:p>
    <w:p>
      <w:r>
        <w:rPr>
          <w:b/>
        </w:rPr>
        <w:t xml:space="preserve">Eixo de harmonização: </w:t>
      </w:r>
      <w:r>
        <w:t>Controlo Populacional e Bem-Estar</w:t>
      </w:r>
    </w:p>
    <w:p>
      <w:r>
        <w:rPr>
          <w:i/>
          <w:sz w:val="20"/>
        </w:rPr>
        <w:t>Comentários nesta categoria: 5</w:t>
      </w:r>
    </w:p>
    <w:p>
      <w:r>
        <w:rPr>
          <w:b/>
        </w:rPr>
        <w:t xml:space="preserve">Resumo: </w:t>
      </w:r>
      <w:r>
        <w:t>Definição de criador, criação ocasional vs. profissional, e vigilância de ninhadas. Conexão com DL 315/2009 sobre animais perigosos.</w:t>
      </w:r>
    </w:p>
    <w:p>
      <w:pPr>
        <w:pStyle w:val="Heading3"/>
      </w:pPr>
      <w:r>
        <w:t>Preocupações principais:</w:t>
      </w:r>
    </w:p>
    <w:p>
      <w:pPr>
        <w:pStyle w:val="ListBullet"/>
      </w:pPr>
      <w:r>
        <w:t>Distinção clara entre criação ocasional e atividade profissional de criação</w:t>
      </w:r>
    </w:p>
    <w:p>
      <w:pPr>
        <w:pStyle w:val="ListBullet"/>
      </w:pPr>
      <w:r>
        <w:t>Vigilância uniforme de ninhadas independentemente de tipo de criador</w:t>
      </w:r>
    </w:p>
    <w:p>
      <w:pPr>
        <w:pStyle w:val="ListBullet"/>
      </w:pPr>
      <w:r>
        <w:t>Alinhamento com classificações de animais potencialmente perigosos</w:t>
      </w:r>
    </w:p>
    <w:p>
      <w:pPr>
        <w:pStyle w:val="ListBullet"/>
      </w:pPr>
      <w:r>
        <w:t>Prevenção de reprodução não controlada</w:t>
      </w:r>
    </w:p>
    <w:p/>
    <w:p>
      <w:pPr>
        <w:pStyle w:val="Heading2"/>
      </w:pPr>
      <w:r>
        <w:t>Bem-estar animal</w:t>
      </w:r>
    </w:p>
    <w:p>
      <w:r>
        <w:rPr>
          <w:b/>
        </w:rPr>
        <w:t xml:space="preserve">Eixo de harmonização: </w:t>
      </w:r>
      <w:r>
        <w:t>Princípios Fundamentais de Proteção</w:t>
      </w:r>
    </w:p>
    <w:p>
      <w:r>
        <w:rPr>
          <w:i/>
          <w:sz w:val="20"/>
        </w:rPr>
        <w:t>Comentários nesta categoria: 16</w:t>
      </w:r>
    </w:p>
    <w:p>
      <w:r>
        <w:rPr>
          <w:b/>
        </w:rPr>
        <w:t xml:space="preserve">Resumo: </w:t>
      </w:r>
      <w:r>
        <w:t>Implementação das Cinco Liberdades (WOAH) como base. Preocupações sobre integração com legislação sanitária e requisitos europeus (Reg. 2023/0447).</w:t>
      </w:r>
    </w:p>
    <w:p>
      <w:pPr>
        <w:pStyle w:val="Heading3"/>
      </w:pPr>
      <w:r>
        <w:t>Preocupações principais:</w:t>
      </w:r>
    </w:p>
    <w:p>
      <w:pPr>
        <w:pStyle w:val="ListBullet"/>
      </w:pPr>
      <w:r>
        <w:t>Bem-estar em transporte de animais de companhia</w:t>
      </w:r>
    </w:p>
    <w:p>
      <w:pPr>
        <w:pStyle w:val="ListBullet"/>
      </w:pPr>
      <w:r>
        <w:t>Bem-estar em eventos e espetáculos (remissão para legislação específica)</w:t>
      </w:r>
    </w:p>
    <w:p>
      <w:pPr>
        <w:pStyle w:val="ListBullet"/>
      </w:pPr>
      <w:r>
        <w:t>Controlos comportamentais e de contenção respeitosos</w:t>
      </w:r>
    </w:p>
    <w:p>
      <w:pPr>
        <w:pStyle w:val="ListBullet"/>
      </w:pPr>
      <w:r>
        <w:t>Integração com legislação sanitária (e.g., Portaria 264/2013 sobre raiva)</w:t>
      </w:r>
    </w:p>
    <w:p>
      <w:pPr>
        <w:pStyle w:val="ListBullet"/>
      </w:pPr>
      <w:r>
        <w:t>Alinhamento com Reg. 2023/0447 (cães e gatos)</w:t>
      </w:r>
    </w:p>
    <w:p/>
    <w:p>
      <w:pPr>
        <w:pStyle w:val="Heading2"/>
      </w:pPr>
      <w:r>
        <w:t>Legislação conexa</w:t>
      </w:r>
    </w:p>
    <w:p>
      <w:r>
        <w:rPr>
          <w:b/>
        </w:rPr>
        <w:t xml:space="preserve">Eixo de harmonização: </w:t>
      </w:r>
      <w:r>
        <w:t>Harmonização Normativa e Remissões</w:t>
      </w:r>
    </w:p>
    <w:p>
      <w:r>
        <w:rPr>
          <w:i/>
          <w:sz w:val="20"/>
        </w:rPr>
        <w:t>Comentários nesta categoria: 25</w:t>
      </w:r>
    </w:p>
    <w:p>
      <w:r>
        <w:rPr>
          <w:b/>
        </w:rPr>
        <w:t xml:space="preserve">Resumo: </w:t>
      </w:r>
      <w:r>
        <w:t>Integração do RGBEAC com múltiplos diplomas existentes: sanitários, de segurança pública, europeus.</w:t>
      </w:r>
    </w:p>
    <w:p>
      <w:pPr>
        <w:pStyle w:val="Heading3"/>
      </w:pPr>
      <w:r>
        <w:t>Preocupações principais:</w:t>
      </w:r>
    </w:p>
    <w:p>
      <w:pPr>
        <w:pStyle w:val="ListBullet"/>
      </w:pPr>
      <w:r>
        <w:t>Legislação sobre espetáculos e manifestações com animais (remissão)</w:t>
      </w:r>
    </w:p>
    <w:p>
      <w:pPr>
        <w:pStyle w:val="ListBullet"/>
      </w:pPr>
      <w:r>
        <w:t>Regulamento 576/2013 e futuro Reg. 2026 (saúde animal)</w:t>
      </w:r>
    </w:p>
    <w:p>
      <w:pPr>
        <w:pStyle w:val="ListBullet"/>
      </w:pPr>
      <w:r>
        <w:t>DL 315/2009 (animais perigosos/potencialmente perigosos)</w:t>
      </w:r>
    </w:p>
    <w:p>
      <w:pPr>
        <w:pStyle w:val="ListBullet"/>
      </w:pPr>
      <w:r>
        <w:t>Legislação de controlo populacional (Lei 27/2016 - recolha oficial)</w:t>
      </w:r>
    </w:p>
    <w:p>
      <w:pPr>
        <w:pStyle w:val="ListBullet"/>
      </w:pPr>
      <w:r>
        <w:t>Regulamento 2023/0447 (cães e gatos - aplicação direta europeia)</w:t>
      </w:r>
    </w:p>
    <w:p/>
    <w:p>
      <w:pPr>
        <w:pStyle w:val="Heading2"/>
      </w:pPr>
      <w:r>
        <w:t>Detenção responsável</w:t>
      </w:r>
    </w:p>
    <w:p>
      <w:r>
        <w:rPr>
          <w:b/>
        </w:rPr>
        <w:t xml:space="preserve">Eixo de harmonização: </w:t>
      </w:r>
      <w:r>
        <w:t>Obrigações e Proibições Gerais</w:t>
      </w:r>
    </w:p>
    <w:p>
      <w:r>
        <w:rPr>
          <w:i/>
          <w:sz w:val="20"/>
        </w:rPr>
        <w:t>Comentários nesta categoria: 13</w:t>
      </w:r>
    </w:p>
    <w:p>
      <w:r>
        <w:rPr>
          <w:b/>
        </w:rPr>
        <w:t xml:space="preserve">Resumo: </w:t>
      </w:r>
      <w:r>
        <w:t>Clarificação da definição de «detentor», extensão de obrigações a novos cenários, responsabilização de proprietários/possuidores.</w:t>
      </w:r>
    </w:p>
    <w:p>
      <w:pPr>
        <w:pStyle w:val="Heading3"/>
      </w:pPr>
      <w:r>
        <w:t>Preocupações principais:</w:t>
      </w:r>
    </w:p>
    <w:p>
      <w:pPr>
        <w:pStyle w:val="ListBullet"/>
      </w:pPr>
      <w:r>
        <w:t>Definição de «detentor»: pessoa singular ou coletiva em situação de possuidor precário</w:t>
      </w:r>
    </w:p>
    <w:p>
      <w:pPr>
        <w:pStyle w:val="ListBullet"/>
      </w:pPr>
      <w:r>
        <w:t>Alargamento de obrigações a várias categorias de detentores</w:t>
      </w:r>
    </w:p>
    <w:p>
      <w:pPr>
        <w:pStyle w:val="ListBullet"/>
      </w:pPr>
      <w:r>
        <w:t>Responsabilização de proprietários e possuidores</w:t>
      </w:r>
    </w:p>
    <w:p>
      <w:pPr>
        <w:pStyle w:val="ListBullet"/>
      </w:pPr>
      <w:r>
        <w:t>Princípios de proteção aplicados uniformemente</w:t>
      </w:r>
    </w:p>
    <w:p/>
    <w:p>
      <w:pPr>
        <w:pStyle w:val="Heading2"/>
      </w:pPr>
      <w:r>
        <w:t>Definições e conceitos</w:t>
      </w:r>
    </w:p>
    <w:p>
      <w:r>
        <w:rPr>
          <w:b/>
        </w:rPr>
        <w:t xml:space="preserve">Eixo de harmonização: </w:t>
      </w:r>
      <w:r>
        <w:t>Clarificação Normativa</w:t>
      </w:r>
    </w:p>
    <w:p>
      <w:r>
        <w:rPr>
          <w:i/>
          <w:sz w:val="20"/>
        </w:rPr>
        <w:t>Comentários nesta categoria: 10</w:t>
      </w:r>
    </w:p>
    <w:p>
      <w:r>
        <w:rPr>
          <w:b/>
        </w:rPr>
        <w:t xml:space="preserve">Resumo: </w:t>
      </w:r>
      <w:r>
        <w:t>Refinamento de definições para evitar confusões entre categorias legais e operacionais.</w:t>
      </w:r>
    </w:p>
    <w:p>
      <w:pPr>
        <w:pStyle w:val="Heading3"/>
      </w:pPr>
      <w:r>
        <w:t>Preocupações principais:</w:t>
      </w:r>
    </w:p>
    <w:p>
      <w:pPr>
        <w:pStyle w:val="ListBullet"/>
      </w:pPr>
      <w:r>
        <w:t>Distinção clara entre centro de recolha oficial e entidades de bem-estar animal</w:t>
      </w:r>
    </w:p>
    <w:p>
      <w:pPr>
        <w:pStyle w:val="ListBullet"/>
      </w:pPr>
      <w:r>
        <w:t>Precisão de termos que podem ter múltiplas interpretações</w:t>
      </w:r>
    </w:p>
    <w:p>
      <w:pPr>
        <w:pStyle w:val="ListBullet"/>
      </w:pPr>
      <w:r>
        <w:t>Alinhamento com definições europeias</w:t>
      </w:r>
    </w:p>
    <w:p/>
    <w:p/>
    <w:p>
      <w:pPr>
        <w:pStyle w:val="Heading1"/>
      </w:pPr>
      <w:r>
        <w:t>4. ALINHAMENTO COM REGULAMENTO EUROPEU 2023/0447</w:t>
      </w:r>
    </w:p>
    <w:p>
      <w:pPr/>
      <w:r>
        <w:t>O Regulamento 2023/0447 da UE relativo a requisitos de bem-estar para cães e gatos aplica-se diretamente em Portugal desde 2024.</w:t>
      </w:r>
    </w:p>
    <w:p/>
    <w:p>
      <w:pPr>
        <w:pStyle w:val="Heading3"/>
      </w:pPr>
      <w:r>
        <w:t>Áreas de convergência identificadas nos comentários</w:t>
      </w:r>
    </w:p>
    <w:p/>
    <w:p>
      <w:pPr>
        <w:pStyle w:val="Heading3"/>
      </w:pPr>
      <w:r>
        <w:t>Identificação e rastreabilidade</w:t>
      </w:r>
    </w:p>
    <w:p>
      <w:pPr>
        <w:pStyle w:val="ListBullet"/>
      </w:pPr>
      <w:r>
        <w:t>• Regulamento exige identificação e registo de todos os cães e gatos</w:t>
      </w:r>
    </w:p>
    <w:p>
      <w:pPr>
        <w:pStyle w:val="ListBullet"/>
      </w:pPr>
      <w:r>
        <w:t>• Portugal alinha passaporte animal com Reg. 576/2013 e implementa SIAC</w:t>
      </w:r>
    </w:p>
    <w:p>
      <w:pPr>
        <w:pStyle w:val="ListBullet"/>
      </w:pPr>
      <w:r>
        <w:t>• Comentários confirmam necessidade de harmonização de formatos</w:t>
      </w:r>
    </w:p>
    <w:p/>
    <w:p>
      <w:pPr>
        <w:pStyle w:val="Heading3"/>
      </w:pPr>
      <w:r>
        <w:t>Bem-estar e limitações de reprodução</w:t>
      </w:r>
    </w:p>
    <w:p>
      <w:pPr>
        <w:pStyle w:val="ListBullet"/>
      </w:pPr>
      <w:r>
        <w:t>• Regulamento estabelece requisitos mínimos de bem-estar</w:t>
      </w:r>
    </w:p>
    <w:p>
      <w:pPr>
        <w:pStyle w:val="ListBullet"/>
      </w:pPr>
      <w:r>
        <w:t>• RGBEAC consolida princípios de Five Freedoms (WOAH)</w:t>
      </w:r>
    </w:p>
    <w:p>
      <w:pPr>
        <w:pStyle w:val="ListBullet"/>
      </w:pPr>
      <w:r>
        <w:t>• Comentários destacam necessidade de controlo de criação não profissional</w:t>
      </w:r>
    </w:p>
    <w:p/>
    <w:p>
      <w:pPr>
        <w:pStyle w:val="Heading3"/>
      </w:pPr>
      <w:r>
        <w:t>Alojamentos</w:t>
      </w:r>
    </w:p>
    <w:p>
      <w:pPr>
        <w:pStyle w:val="ListBullet"/>
      </w:pPr>
      <w:r>
        <w:t>• Regulamento fixa requisitos para alojamento de cães/gatos em estruturas profissionais</w:t>
      </w:r>
    </w:p>
    <w:p>
      <w:pPr>
        <w:pStyle w:val="ListBullet"/>
      </w:pPr>
      <w:r>
        <w:t>• RGBEAC define tipologias e competências (CRO vs. bem-estar animal)</w:t>
      </w:r>
    </w:p>
    <w:p>
      <w:pPr>
        <w:pStyle w:val="ListBullet"/>
      </w:pPr>
      <w:r>
        <w:t>• Debate nos comentários sobre clarificação de funções</w:t>
      </w:r>
    </w:p>
    <w:p/>
    <w:p>
      <w:pPr>
        <w:pStyle w:val="Heading3"/>
      </w:pPr>
      <w:r>
        <w:t>Transporte</w:t>
      </w:r>
    </w:p>
    <w:p>
      <w:pPr>
        <w:pStyle w:val="ListBullet"/>
      </w:pPr>
      <w:r>
        <w:t>• Regulamento 2023/0447 inclui regras de bem-estar em transporte</w:t>
      </w:r>
    </w:p>
    <w:p>
      <w:pPr>
        <w:pStyle w:val="ListBullet"/>
      </w:pPr>
      <w:r>
        <w:t>• RGBEAC reforça garantias de proteção em transporte</w:t>
      </w:r>
    </w:p>
    <w:p/>
    <w:p>
      <w:pPr>
        <w:pStyle w:val="Heading3"/>
      </w:pPr>
      <w:r>
        <w:t>Acesso a espaços públicos</w:t>
      </w:r>
    </w:p>
    <w:p>
      <w:pPr>
        <w:pStyle w:val="ListBullet"/>
      </w:pPr>
      <w:r>
        <w:t>• Regulamento não proíbe cães/gatos em estabelecimentos públicos (com critérios)</w:t>
      </w:r>
    </w:p>
    <w:p>
      <w:pPr>
        <w:pStyle w:val="ListBullet"/>
      </w:pPr>
      <w:r>
        <w:t>• RGBEAC codifica regime já existente em Portugal</w:t>
      </w:r>
    </w:p>
    <w:p/>
    <w:p>
      <w:pPr>
        <w:pStyle w:val="Heading1"/>
      </w:pPr>
      <w:r>
        <w:t>5. QUADRO SINÓTICO: PREOCUPAÇÕES × EIXOS DE HARMONIZAÇÃO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Eixo de Harmonização</w:t>
            </w:r>
          </w:p>
        </w:tc>
        <w:tc>
          <w:tcPr>
            <w:tcW w:type="dxa" w:w="2592"/>
          </w:tcPr>
          <w:p>
            <w:r>
              <w:rPr>
                <w:b/>
                <w:sz w:val="20"/>
              </w:rPr>
              <w:t>Temas nos Comentários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Preocupação Principal</w:t>
            </w:r>
          </w:p>
        </w:tc>
        <w:tc>
          <w:tcPr>
            <w:tcW w:type="dxa" w:w="2448"/>
          </w:tcPr>
          <w:p>
            <w:r>
              <w:rPr>
                <w:b/>
                <w:sz w:val="20"/>
              </w:rPr>
              <w:t>Alinhamento Reg. 2023/0447</w:t>
            </w:r>
          </w:p>
        </w:tc>
      </w:tr>
      <w:tr>
        <w:tc>
          <w:tcPr>
            <w:tcW w:type="dxa" w:w="2160"/>
          </w:tcPr>
          <w:p>
            <w:r>
              <w:t>Detenção Responsável</w:t>
            </w:r>
          </w:p>
        </w:tc>
        <w:tc>
          <w:tcPr>
            <w:tcW w:type="dxa" w:w="2592"/>
          </w:tcPr>
          <w:p>
            <w:r>
              <w:t>Detenção responsável, Definições e conceitos</w:t>
            </w:r>
          </w:p>
        </w:tc>
        <w:tc>
          <w:tcPr>
            <w:tcW w:type="dxa" w:w="2880"/>
          </w:tcPr>
          <w:p>
            <w:r>
              <w:t>Clarificar definição de detentor e extensão de obrigações</w:t>
            </w:r>
          </w:p>
        </w:tc>
        <w:tc>
          <w:tcPr>
            <w:tcW w:type="dxa" w:w="2448"/>
          </w:tcPr>
          <w:p>
            <w:r>
              <w:t>Requisitos de bem-estar aplicáveis a todos os detentores</w:t>
            </w:r>
          </w:p>
        </w:tc>
      </w:tr>
      <w:tr>
        <w:tc>
          <w:tcPr>
            <w:tcW w:type="dxa" w:w="2160"/>
          </w:tcPr>
          <w:p>
            <w:r>
              <w:t>Rastreabilidade</w:t>
            </w:r>
          </w:p>
        </w:tc>
        <w:tc>
          <w:tcPr>
            <w:tcW w:type="dxa" w:w="2592"/>
          </w:tcPr>
          <w:p>
            <w:r>
              <w:t>Identificação e registo</w:t>
            </w:r>
          </w:p>
        </w:tc>
        <w:tc>
          <w:tcPr>
            <w:tcW w:type="dxa" w:w="2880"/>
          </w:tcPr>
          <w:p>
            <w:r>
              <w:t>Harmonizar passaporte animal, SIAC, DIAC com Reg. 576/2013</w:t>
            </w:r>
          </w:p>
        </w:tc>
        <w:tc>
          <w:tcPr>
            <w:tcW w:type="dxa" w:w="2448"/>
          </w:tcPr>
          <w:p>
            <w:r>
              <w:t>Exige identificação e registo em base de dados nacional</w:t>
            </w:r>
          </w:p>
        </w:tc>
      </w:tr>
      <w:tr>
        <w:tc>
          <w:tcPr>
            <w:tcW w:type="dxa" w:w="2160"/>
          </w:tcPr>
          <w:p>
            <w:r>
              <w:t>Controlo Populacional</w:t>
            </w:r>
          </w:p>
        </w:tc>
        <w:tc>
          <w:tcPr>
            <w:tcW w:type="dxa" w:w="2592"/>
          </w:tcPr>
          <w:p>
            <w:r>
              <w:t>Reprodução, Legislação conexa</w:t>
            </w:r>
          </w:p>
        </w:tc>
        <w:tc>
          <w:tcPr>
            <w:tcW w:type="dxa" w:w="2880"/>
          </w:tcPr>
          <w:p>
            <w:r>
              <w:t>Controlar criação ocasional vs. profissional; vigilância de ninhadas</w:t>
            </w:r>
          </w:p>
        </w:tc>
        <w:tc>
          <w:tcPr>
            <w:tcW w:type="dxa" w:w="2448"/>
          </w:tcPr>
          <w:p>
            <w:r>
              <w:t>Restrições a reprodução em estruturas profissionais</w:t>
            </w:r>
          </w:p>
        </w:tc>
      </w:tr>
      <w:tr>
        <w:tc>
          <w:tcPr>
            <w:tcW w:type="dxa" w:w="2160"/>
          </w:tcPr>
          <w:p>
            <w:r>
              <w:t>Alojamentos</w:t>
            </w:r>
          </w:p>
        </w:tc>
        <w:tc>
          <w:tcPr>
            <w:tcW w:type="dxa" w:w="2592"/>
          </w:tcPr>
          <w:p>
            <w:r>
              <w:t>Centros de recolha, Bem-estar animal</w:t>
            </w:r>
          </w:p>
        </w:tc>
        <w:tc>
          <w:tcPr>
            <w:tcW w:type="dxa" w:w="2880"/>
          </w:tcPr>
          <w:p>
            <w:r>
              <w:t>Distinguir CRO (sanitário) de bem-estar animal (educativo)</w:t>
            </w:r>
          </w:p>
        </w:tc>
        <w:tc>
          <w:tcPr>
            <w:tcW w:type="dxa" w:w="2448"/>
          </w:tcPr>
          <w:p>
            <w:r>
              <w:t>Requisitos específicos para alojamento profissional</w:t>
            </w:r>
          </w:p>
        </w:tc>
      </w:tr>
      <w:tr>
        <w:tc>
          <w:tcPr>
            <w:tcW w:type="dxa" w:w="2160"/>
          </w:tcPr>
          <w:p>
            <w:r>
              <w:t>Bem-estar Geral</w:t>
            </w:r>
          </w:p>
        </w:tc>
        <w:tc>
          <w:tcPr>
            <w:tcW w:type="dxa" w:w="2592"/>
          </w:tcPr>
          <w:p>
            <w:r>
              <w:t>Bem-estar animal, Legislação conexa</w:t>
            </w:r>
          </w:p>
        </w:tc>
        <w:tc>
          <w:tcPr>
            <w:tcW w:type="dxa" w:w="2880"/>
          </w:tcPr>
          <w:p>
            <w:r>
              <w:t>Implementar Five Freedoms (WOAH); integração sanitária</w:t>
            </w:r>
          </w:p>
        </w:tc>
        <w:tc>
          <w:tcPr>
            <w:tcW w:type="dxa" w:w="2448"/>
          </w:tcPr>
          <w:p>
            <w:r>
              <w:t>Princípios de Five Freedoms; transporte; acesso público</w:t>
            </w:r>
          </w:p>
        </w:tc>
      </w:tr>
    </w:tbl>
    <w:p/>
    <w:p>
      <w:pPr>
        <w:pStyle w:val="Heading1"/>
      </w:pPr>
      <w:r>
        <w:t>6. CONCLUSÕES</w:t>
      </w:r>
    </w:p>
    <w:p>
      <w:pPr/>
      <w:r>
        <w:t>Os 252 comentários refletem um processo de consolidação normativa bem estruturado, com discussão técnica consistente entre stakeholders.</w:t>
      </w:r>
    </w:p>
    <w:p/>
    <w:p>
      <w:pPr/>
      <w:r>
        <w:t>Os temas principais convergem nos cinco eixos estratégicos de harmonização:</w:t>
      </w:r>
    </w:p>
    <w:p>
      <w:pPr>
        <w:pStyle w:val="ListBullet"/>
      </w:pPr>
      <w:r>
        <w:t>1. Detenção responsável (clarificação de conceitos)</w:t>
      </w:r>
    </w:p>
    <w:p>
      <w:pPr>
        <w:pStyle w:val="ListBullet"/>
      </w:pPr>
      <w:r>
        <w:t>2. Rastreabilidade (identificação, microchip, passaporte)</w:t>
      </w:r>
    </w:p>
    <w:p>
      <w:pPr>
        <w:pStyle w:val="ListBullet"/>
      </w:pPr>
      <w:r>
        <w:t>3. Controlo populacional (reprodução, criadores)</w:t>
      </w:r>
    </w:p>
    <w:p>
      <w:pPr>
        <w:pStyle w:val="ListBullet"/>
      </w:pPr>
      <w:r>
        <w:t>4. Alojamentos (centros de recolha, hospedagem)</w:t>
      </w:r>
    </w:p>
    <w:p>
      <w:pPr>
        <w:pStyle w:val="ListBullet"/>
      </w:pPr>
      <w:r>
        <w:t>5. Bem-estar geral (Five Freedoms, transporte, acesso público)</w:t>
      </w:r>
    </w:p>
    <w:p/>
    <w:p>
      <w:pPr/>
      <w:r>
        <w:t>O RGBEAC posiciona-se como instrumento de consolidação que:</w:t>
      </w:r>
    </w:p>
    <w:p>
      <w:pPr>
        <w:pStyle w:val="ListBullet"/>
      </w:pPr>
      <w:r>
        <w:t>• Integra legislação anterior dispersa (DL 276/2001, DL 82/2019, DL 315/2009, Lei 27/2016)</w:t>
      </w:r>
    </w:p>
    <w:p>
      <w:pPr>
        <w:pStyle w:val="ListBullet"/>
      </w:pPr>
      <w:r>
        <w:t>• Alinha com Regulamento 2023/0447 (aplicação direta europeia)</w:t>
      </w:r>
    </w:p>
    <w:p>
      <w:pPr>
        <w:pStyle w:val="ListBullet"/>
      </w:pPr>
      <w:r>
        <w:t>• Implementa princípios reconhecidos internacionalmente (Five Freedoms/WOAH)</w:t>
      </w:r>
    </w:p>
    <w:p>
      <w:pPr>
        <w:pStyle w:val="ListBullet"/>
      </w:pPr>
      <w:r>
        <w:t>• Reforça detenção responsável através de obrigações clarificadas</w:t>
      </w:r>
    </w:p>
    <w:p/>
    <w:p>
      <w:pPr/>
      <w:r>
        <w:t>As preocupações dos comentários foram maioritariamente endereçadas através de:</w:t>
      </w:r>
    </w:p>
    <w:p>
      <w:pPr>
        <w:pStyle w:val="ListBullet"/>
      </w:pPr>
      <w:r>
        <w:t>• Clarificação de definições (centros de recolha, detentor, criador)</w:t>
      </w:r>
    </w:p>
    <w:p>
      <w:pPr>
        <w:pStyle w:val="ListBullet"/>
      </w:pPr>
      <w:r>
        <w:t>• Remissões para legislação específica (sanitária, segurança pública)</w:t>
      </w:r>
    </w:p>
    <w:p>
      <w:pPr>
        <w:pStyle w:val="ListBullet"/>
      </w:pPr>
      <w:r>
        <w:t>• Alinhamento com sistemas existentes (SIAC, DIAC)</w:t>
      </w:r>
    </w:p>
    <w:p>
      <w:pPr>
        <w:pStyle w:val="ListBullet"/>
      </w:pPr>
      <w:r>
        <w:t>• Distribuição clara de competências entre autoridades</w:t>
      </w:r>
    </w:p>
    <w:p/>
    <w:p>
      <w:pPr/>
      <w:r>
        <w:t>A versão final do RGBEAC representa uma resposta integrada aos desafios de consolidação normativa, harmonização europeia e reforço de bem-estar animal.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