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1.13</w:t>
            </w:r>
          </w:p>
        </w:tc>
      </w:tr>
      <w:tr>
        <w:tc>
          <w:tcPr>
            <w:tcW w:w="2551" w:type="dxa"/>
          </w:tcPr>
          <w:p>
            <w:pPr>
              <w:spacing w:after="60"/>
            </w:pPr>
            <w:r/>
            <w:r>
              <w:rPr>
                <w:b/>
                <w:sz w:val="20"/>
              </w:rPr>
              <w:t>Data</w:t>
            </w:r>
          </w:p>
        </w:tc>
        <w:tc>
          <w:tcPr>
            <w:tcW w:w="6520" w:type="dxa"/>
          </w:tcPr>
          <w:p>
            <w:pPr>
              <w:spacing w:after="60"/>
            </w:pPr>
            <w:r/>
            <w:r>
              <w:rPr>
                <w:b w:val="0"/>
                <w:sz w:val="20"/>
              </w:rPr>
              <w:t>9.10.2026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35</w:t>
            </w:r>
          </w:p>
        </w:tc>
        <w:tc>
          <w:tcPr>
            <w:tcW w:w="1701" w:type="dxa"/>
          </w:tcPr>
          <w:p>
            <w:pPr>
              <w:spacing w:after="60"/>
            </w:pPr>
            <w:r/>
            <w:r>
              <w:rPr>
                <w:b/>
                <w:sz w:val="20"/>
              </w:rPr>
              <w:t>117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P-37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(1)</w:t>
      </w:r>
    </w:p>
    <w:p>
      <w:pPr>
        <w:spacing w:after="20"/>
        <w:ind w:left="454"/>
      </w:pPr>
      <w:r>
        <w:rPr>
          <w:b w:val="0"/>
          <w:i w:val="0"/>
        </w:rPr>
        <w:t>P-12. Redação por decidir no art. 22.º (art. 22.º, cap. IV)</w:t>
      </w:r>
    </w:p>
    <w:p>
      <w:pPr>
        <w:pStyle w:val="Heading2"/>
      </w:pPr>
      <w:r>
        <w:rPr>
          <w:i w:val="0"/>
          <w:color w:val="000000"/>
        </w:rPr>
        <w:t>Fiscalização e contraordenações (2)</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pPr>
        <w:pStyle w:val="Heading2"/>
      </w:pPr>
      <w:r>
        <w:rPr>
          <w:i w:val="0"/>
          <w:color w:val="000000"/>
        </w:rPr>
        <w:t>Bem-estar e deveres de detenção (1)</w:t>
      </w:r>
    </w:p>
    <w:p>
      <w:pPr>
        <w:spacing w:after="20"/>
        <w:ind w:left="454"/>
      </w:pPr>
      <w:r>
        <w:rPr>
          <w:b w:val="0"/>
          <w:i w:val="0"/>
        </w:rPr>
        <w:t>P-40. A amarração no domicílio fica sem duração máxima nem requisitos verificáveis (art. 19.º, cap. II)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