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133CC" w14:textId="7F69A185" w:rsidR="0003752E" w:rsidRPr="00E410D1" w:rsidRDefault="00E410D1">
      <w:pPr>
        <w:rPr>
          <w:lang w:val="en-GB"/>
        </w:rPr>
      </w:pPr>
      <w:r w:rsidRPr="00E410D1">
        <w:rPr>
          <w:lang w:val="en-GB"/>
        </w:rPr>
        <w:t>AnimaNaturalis</w:t>
      </w:r>
    </w:p>
    <w:p w14:paraId="684FCBC4" w14:textId="148AA6BC" w:rsidR="0003752E" w:rsidRPr="0003752E" w:rsidRDefault="00E410D1" w:rsidP="00E410D1">
      <w:pPr>
        <w:rPr>
          <w:lang w:val="en-GB"/>
        </w:rPr>
      </w:pPr>
      <w:r w:rsidRPr="00E410D1">
        <w:rPr>
          <w:lang w:val="en-GB"/>
        </w:rPr>
        <w:t>AnimaNaturalis has been working for the rights of all animals for 20 years. This proposal for a regulation on the welfare of dogs and cats and their traceability has been very well received, introducing much-needed measures on the traceability of dogs and cats, breeding practices and imported animals. We are also pleased to note that the recommendations made by the Voluntary Initiative on the health and welfare of pet animals (</w:t>
      </w:r>
      <w:proofErr w:type="gramStart"/>
      <w:r w:rsidRPr="00E410D1">
        <w:rPr>
          <w:lang w:val="en-GB"/>
        </w:rPr>
        <w:t>in particular dogs</w:t>
      </w:r>
      <w:proofErr w:type="gramEnd"/>
      <w:r w:rsidRPr="00E410D1">
        <w:rPr>
          <w:lang w:val="en-GB"/>
        </w:rPr>
        <w:t xml:space="preserve"> and cats) and the EFSA opinion on housing and health of cats and dogs in commercial breeding establishments have been widely recognised. However, we believe that additional efforts are needed to address issues such as indiscriminate breeding and online selling, among others.</w:t>
      </w:r>
    </w:p>
    <w:sectPr w:rsidR="0003752E" w:rsidRPr="000375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A01115"/>
    <w:rsid w:val="00A94EF0"/>
    <w:rsid w:val="00E07DE4"/>
    <w:rsid w:val="00E410D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626</Characters>
  <Application>Microsoft Office Word</Application>
  <DocSecurity>0</DocSecurity>
  <Lines>5</Lines>
  <Paragraphs>1</Paragraphs>
  <ScaleCrop>false</ScaleCrop>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2026-03-16T15:38:00Z</dcterms:created>
  <dcterms:modified xsi:type="dcterms:W3CDTF">2026-03-16T15:38:00Z</dcterms:modified>
</cp:coreProperties>
</file>