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555C8" w14:textId="159A6412" w:rsidR="00F2136E" w:rsidRPr="00375023" w:rsidRDefault="00375023" w:rsidP="00F2136E">
      <w:pPr>
        <w:rPr>
          <w:lang w:val="en-GB"/>
        </w:rPr>
      </w:pPr>
      <w:r w:rsidRPr="00375023">
        <w:rPr>
          <w:lang w:val="en-GB"/>
        </w:rPr>
        <w:t xml:space="preserve">Koninklijke </w:t>
      </w:r>
      <w:proofErr w:type="spellStart"/>
      <w:r w:rsidRPr="00375023">
        <w:rPr>
          <w:lang w:val="en-GB"/>
        </w:rPr>
        <w:t>Hondenbescherming</w:t>
      </w:r>
      <w:proofErr w:type="spellEnd"/>
    </w:p>
    <w:p w14:paraId="26067A9A" w14:textId="77777777" w:rsidR="00BC591D" w:rsidRPr="00BC591D" w:rsidRDefault="00BC591D" w:rsidP="00BC591D">
      <w:pPr>
        <w:rPr>
          <w:lang w:val="en"/>
        </w:rPr>
      </w:pPr>
      <w:r w:rsidRPr="00BC591D">
        <w:rPr>
          <w:lang w:val="en"/>
        </w:rPr>
        <w:t xml:space="preserve">The Fédération </w:t>
      </w:r>
      <w:proofErr w:type="spellStart"/>
      <w:r w:rsidRPr="00BC591D">
        <w:rPr>
          <w:lang w:val="en"/>
        </w:rPr>
        <w:t>nationale</w:t>
      </w:r>
      <w:proofErr w:type="spellEnd"/>
      <w:r w:rsidRPr="00BC591D">
        <w:rPr>
          <w:lang w:val="en"/>
        </w:rPr>
        <w:t xml:space="preserve"> des </w:t>
      </w:r>
      <w:proofErr w:type="spellStart"/>
      <w:r w:rsidRPr="00BC591D">
        <w:rPr>
          <w:lang w:val="en"/>
        </w:rPr>
        <w:t>huneurs</w:t>
      </w:r>
      <w:proofErr w:type="spellEnd"/>
      <w:r w:rsidRPr="00BC591D">
        <w:rPr>
          <w:lang w:val="en"/>
        </w:rPr>
        <w:t xml:space="preserve"> (Fédération </w:t>
      </w:r>
      <w:proofErr w:type="spellStart"/>
      <w:r w:rsidRPr="00BC591D">
        <w:rPr>
          <w:lang w:val="en"/>
        </w:rPr>
        <w:t>nationale</w:t>
      </w:r>
      <w:proofErr w:type="spellEnd"/>
      <w:r w:rsidRPr="00BC591D">
        <w:rPr>
          <w:lang w:val="en"/>
        </w:rPr>
        <w:t xml:space="preserve"> des </w:t>
      </w:r>
      <w:proofErr w:type="spellStart"/>
      <w:r w:rsidRPr="00BC591D">
        <w:rPr>
          <w:lang w:val="en"/>
        </w:rPr>
        <w:t>huneurs</w:t>
      </w:r>
      <w:proofErr w:type="spellEnd"/>
      <w:r w:rsidRPr="00BC591D">
        <w:rPr>
          <w:lang w:val="en"/>
        </w:rPr>
        <w:t xml:space="preserve"> – FNC) of France, which represents 1 million </w:t>
      </w:r>
      <w:proofErr w:type="spellStart"/>
      <w:r w:rsidRPr="00BC591D">
        <w:rPr>
          <w:lang w:val="en"/>
        </w:rPr>
        <w:t>practising</w:t>
      </w:r>
      <w:proofErr w:type="spellEnd"/>
      <w:r w:rsidRPr="00BC591D">
        <w:rPr>
          <w:lang w:val="en"/>
        </w:rPr>
        <w:t xml:space="preserve"> hunters and 4 million </w:t>
      </w:r>
      <w:proofErr w:type="spellStart"/>
      <w:r w:rsidRPr="00BC591D">
        <w:rPr>
          <w:lang w:val="en"/>
        </w:rPr>
        <w:t>licence</w:t>
      </w:r>
      <w:proofErr w:type="spellEnd"/>
      <w:r w:rsidRPr="00BC591D">
        <w:rPr>
          <w:lang w:val="en"/>
        </w:rPr>
        <w:t xml:space="preserve"> holders, wishes to draw the European Commission’s attention to the consequences of the various provisions laid down in the draft Regulation on the welfare of dogs and cats and on their traceability. The welfare of hunting dogs is a major concern for the million French hunters. 59 % of those hunt with at least one dog. However, the requirements laid down in the draft Regulation appear to be excessive and inapplicable for many hunters. The accumulation of legislation and the proliferation of standards at European level are completely disconnected from </w:t>
      </w:r>
      <w:proofErr w:type="gramStart"/>
      <w:r w:rsidRPr="00BC591D">
        <w:rPr>
          <w:lang w:val="en"/>
        </w:rPr>
        <w:t>the reality</w:t>
      </w:r>
      <w:proofErr w:type="gramEnd"/>
      <w:r w:rsidRPr="00BC591D">
        <w:rPr>
          <w:lang w:val="en"/>
        </w:rPr>
        <w:t xml:space="preserve"> on the ground. The introduction of new regulations without </w:t>
      </w:r>
      <w:proofErr w:type="gramStart"/>
      <w:r w:rsidRPr="00BC591D">
        <w:rPr>
          <w:lang w:val="en"/>
        </w:rPr>
        <w:t>taking into account</w:t>
      </w:r>
      <w:proofErr w:type="gramEnd"/>
      <w:r w:rsidRPr="00BC591D">
        <w:rPr>
          <w:lang w:val="en"/>
        </w:rPr>
        <w:t xml:space="preserve"> the practical realities of hunters only </w:t>
      </w:r>
      <w:proofErr w:type="gramStart"/>
      <w:r w:rsidRPr="00BC591D">
        <w:rPr>
          <w:lang w:val="en"/>
        </w:rPr>
        <w:t>creates</w:t>
      </w:r>
      <w:proofErr w:type="gramEnd"/>
      <w:r w:rsidRPr="00BC591D">
        <w:rPr>
          <w:lang w:val="en"/>
        </w:rPr>
        <w:t xml:space="preserve"> an additional administrative burden and hinders their ability to operate under optimal conditions. In this context, the NRF expresses its outright opposition to the adoption of this Regulation, </w:t>
      </w:r>
      <w:proofErr w:type="gramStart"/>
      <w:r w:rsidRPr="00BC591D">
        <w:rPr>
          <w:lang w:val="en"/>
        </w:rPr>
        <w:t>in particular for</w:t>
      </w:r>
      <w:proofErr w:type="gramEnd"/>
      <w:r w:rsidRPr="00BC591D">
        <w:rPr>
          <w:lang w:val="en"/>
        </w:rPr>
        <w:t xml:space="preserve"> </w:t>
      </w:r>
      <w:proofErr w:type="gramStart"/>
      <w:r w:rsidRPr="00BC591D">
        <w:rPr>
          <w:lang w:val="en"/>
        </w:rPr>
        <w:t>a number of</w:t>
      </w:r>
      <w:proofErr w:type="gramEnd"/>
      <w:r w:rsidRPr="00BC591D">
        <w:rPr>
          <w:lang w:val="en"/>
        </w:rPr>
        <w:t xml:space="preserve"> reasons. </w:t>
      </w:r>
      <w:proofErr w:type="gramStart"/>
      <w:r w:rsidRPr="00BC591D">
        <w:rPr>
          <w:lang w:val="en"/>
        </w:rPr>
        <w:t>First of all</w:t>
      </w:r>
      <w:proofErr w:type="gramEnd"/>
      <w:r w:rsidRPr="00BC591D">
        <w:rPr>
          <w:lang w:val="en"/>
        </w:rPr>
        <w:t xml:space="preserve">, </w:t>
      </w:r>
      <w:proofErr w:type="gramStart"/>
      <w:r w:rsidRPr="00BC591D">
        <w:rPr>
          <w:lang w:val="en"/>
        </w:rPr>
        <w:t>with regard to</w:t>
      </w:r>
      <w:proofErr w:type="gramEnd"/>
      <w:r w:rsidRPr="00BC591D">
        <w:rPr>
          <w:lang w:val="en"/>
        </w:rPr>
        <w:t xml:space="preserve"> reclassification as a removal establishment, since more than 3 dogs producing 2 carried per year are owned, it is </w:t>
      </w:r>
      <w:proofErr w:type="gramStart"/>
      <w:r w:rsidRPr="00BC591D">
        <w:rPr>
          <w:lang w:val="en"/>
        </w:rPr>
        <w:t>absolutely necessary</w:t>
      </w:r>
      <w:proofErr w:type="gramEnd"/>
      <w:r w:rsidRPr="00BC591D">
        <w:rPr>
          <w:lang w:val="en"/>
        </w:rPr>
        <w:t xml:space="preserve"> to distinguish between commercial reproduction and reproduction for mere renewal. Thus, owners of wheels of dogs intended for hunting, who do not carry out a commercial activity, must be excluded from the scope of the proposal for a regulation. On the other hand, the threshold of three dogs does not take account of realities. It must be tightened up </w:t>
      </w:r>
      <w:proofErr w:type="gramStart"/>
      <w:r w:rsidRPr="00BC591D">
        <w:rPr>
          <w:lang w:val="en"/>
        </w:rPr>
        <w:t>in order to</w:t>
      </w:r>
      <w:proofErr w:type="gramEnd"/>
      <w:r w:rsidRPr="00BC591D">
        <w:rPr>
          <w:lang w:val="en"/>
        </w:rPr>
        <w:t xml:space="preserve"> distinguish between individual owners and livestock farmers. Moreover, the transitional period for the entry into force of the Regulation needs to be extended </w:t>
      </w:r>
      <w:proofErr w:type="gramStart"/>
      <w:r w:rsidRPr="00BC591D">
        <w:rPr>
          <w:lang w:val="en"/>
        </w:rPr>
        <w:t>in order to</w:t>
      </w:r>
      <w:proofErr w:type="gramEnd"/>
      <w:r w:rsidRPr="00BC591D">
        <w:rPr>
          <w:lang w:val="en"/>
        </w:rPr>
        <w:t xml:space="preserve"> reduce the economic impact that dog owners will have to face. As regards the use of electric collars by hunters, this complies with the rules of good practice and avoids the risks involved in the pursuit of game. There are different forms of necklaces including electrodes with graduated pulses, but they are mainly used to locate or recall dogs (with a flush system). In addition, electric collars are essential accessories in terms of safety for dogs. The use of electric collars makes it possible to combat any state of divagation effectively and substantially reduces the risk of accidents. Maintaining these devices is essential for the safety of both humans and animals. The regulation should focus more on a framework for the intensity of landfills than on a total ban. There is also an EC standard which must be the rule. Why still ban? In addition, the age limit of 18 months for the projection of females is not feasible at all and would require an unrealistic and permanent monitoring duty in fairways or when animals are free. </w:t>
      </w:r>
      <w:proofErr w:type="gramStart"/>
      <w:r w:rsidRPr="00BC591D">
        <w:rPr>
          <w:lang w:val="en"/>
        </w:rPr>
        <w:t>With regard to</w:t>
      </w:r>
      <w:proofErr w:type="gramEnd"/>
      <w:r w:rsidRPr="00BC591D">
        <w:rPr>
          <w:lang w:val="en"/>
        </w:rPr>
        <w:t xml:space="preserve"> tail docking, hunting dogs should be granted </w:t>
      </w:r>
      <w:proofErr w:type="gramStart"/>
      <w:r w:rsidRPr="00BC591D">
        <w:rPr>
          <w:lang w:val="en"/>
        </w:rPr>
        <w:t>a derogation</w:t>
      </w:r>
      <w:proofErr w:type="gramEnd"/>
      <w:r w:rsidRPr="00BC591D">
        <w:rPr>
          <w:lang w:val="en"/>
        </w:rPr>
        <w:t xml:space="preserve"> to prevent injuries. Finally, the registration carried out only by veterinarians should be broadened. In France, </w:t>
      </w:r>
      <w:proofErr w:type="spellStart"/>
      <w:r w:rsidRPr="00BC591D">
        <w:rPr>
          <w:lang w:val="en"/>
        </w:rPr>
        <w:t>lidentification</w:t>
      </w:r>
      <w:proofErr w:type="spellEnd"/>
      <w:r w:rsidRPr="00BC591D">
        <w:rPr>
          <w:lang w:val="en"/>
        </w:rPr>
        <w:t xml:space="preserve"> by electronic chip or tattoo of an animal is mandatory. It is carried out by an approved veterinarian or tattoo who completes a </w:t>
      </w:r>
      <w:r w:rsidRPr="00BC591D">
        <w:rPr>
          <w:lang w:val="en"/>
        </w:rPr>
        <w:lastRenderedPageBreak/>
        <w:t xml:space="preserve">provisional </w:t>
      </w:r>
      <w:proofErr w:type="spellStart"/>
      <w:r w:rsidRPr="00BC591D">
        <w:rPr>
          <w:lang w:val="en"/>
        </w:rPr>
        <w:t>didentification</w:t>
      </w:r>
      <w:proofErr w:type="spellEnd"/>
      <w:r w:rsidRPr="00BC591D">
        <w:rPr>
          <w:lang w:val="en"/>
        </w:rPr>
        <w:t xml:space="preserve"> certificate. This document then allows the animal to be registered in the national file I-cad managed by the Ministry of Agriculture. In short, it is imperative that hunting activities are excluded from the application of this Regulation.</w:t>
      </w:r>
    </w:p>
    <w:p w14:paraId="619A3A76" w14:textId="77777777" w:rsidR="00BC591D" w:rsidRPr="00BC591D" w:rsidRDefault="00BC591D" w:rsidP="00BC591D">
      <w:pPr>
        <w:rPr>
          <w:lang w:val="en-GB"/>
        </w:rPr>
      </w:pPr>
      <w:hyperlink r:id="rId4" w:tooltip="Report an issue with this feedback" w:history="1">
        <w:r w:rsidRPr="00BC591D">
          <w:rPr>
            <w:rStyle w:val="Hiperligao"/>
            <w:lang w:val="en-GB"/>
          </w:rPr>
          <w:t>Report an issue with this feedback</w:t>
        </w:r>
      </w:hyperlink>
    </w:p>
    <w:p w14:paraId="74C1BCDF" w14:textId="77777777" w:rsidR="00BC591D" w:rsidRPr="00BC591D" w:rsidRDefault="00BC591D" w:rsidP="00BC591D">
      <w:proofErr w:type="spellStart"/>
      <w:r w:rsidRPr="00BC591D">
        <w:t>All</w:t>
      </w:r>
      <w:proofErr w:type="spellEnd"/>
      <w:r w:rsidRPr="00BC591D">
        <w:t xml:space="preserve"> feedback</w:t>
      </w:r>
    </w:p>
    <w:p w14:paraId="684FCBC4" w14:textId="3D4BF518" w:rsidR="0003752E" w:rsidRPr="00F2136E" w:rsidRDefault="0003752E" w:rsidP="00BC591D">
      <w:pPr>
        <w:rPr>
          <w:lang w:val="en-GB"/>
        </w:rPr>
      </w:pPr>
    </w:p>
    <w:sectPr w:rsidR="0003752E" w:rsidRPr="00F213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2E"/>
    <w:rsid w:val="0003752E"/>
    <w:rsid w:val="00276B53"/>
    <w:rsid w:val="00375023"/>
    <w:rsid w:val="006100CB"/>
    <w:rsid w:val="007344E4"/>
    <w:rsid w:val="009F6EFA"/>
    <w:rsid w:val="00A01115"/>
    <w:rsid w:val="00A94EF0"/>
    <w:rsid w:val="00A97950"/>
    <w:rsid w:val="00BC591D"/>
    <w:rsid w:val="00C363F7"/>
    <w:rsid w:val="00E07DE4"/>
    <w:rsid w:val="00E410D1"/>
    <w:rsid w:val="00F2136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04F6"/>
  <w15:chartTrackingRefBased/>
  <w15:docId w15:val="{B6CF7528-8925-4285-BFAB-9DFD2B5D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03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03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03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3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3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375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375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375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3752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3752E"/>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03752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03752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3752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3752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3752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3752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3752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3752E"/>
    <w:rPr>
      <w:rFonts w:eastAsiaTheme="majorEastAsia" w:cstheme="majorBidi"/>
      <w:color w:val="272727" w:themeColor="text1" w:themeTint="D8"/>
    </w:rPr>
  </w:style>
  <w:style w:type="paragraph" w:styleId="Ttulo">
    <w:name w:val="Title"/>
    <w:basedOn w:val="Normal"/>
    <w:next w:val="Normal"/>
    <w:link w:val="TtuloCarter"/>
    <w:uiPriority w:val="10"/>
    <w:qFormat/>
    <w:rsid w:val="0003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3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3752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3752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3752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3752E"/>
    <w:rPr>
      <w:i/>
      <w:iCs/>
      <w:color w:val="404040" w:themeColor="text1" w:themeTint="BF"/>
    </w:rPr>
  </w:style>
  <w:style w:type="paragraph" w:styleId="PargrafodaLista">
    <w:name w:val="List Paragraph"/>
    <w:basedOn w:val="Normal"/>
    <w:uiPriority w:val="34"/>
    <w:qFormat/>
    <w:rsid w:val="0003752E"/>
    <w:pPr>
      <w:ind w:left="720"/>
      <w:contextualSpacing/>
    </w:pPr>
  </w:style>
  <w:style w:type="character" w:styleId="nfaseIntensa">
    <w:name w:val="Intense Emphasis"/>
    <w:basedOn w:val="Tipodeletrapredefinidodopargrafo"/>
    <w:uiPriority w:val="21"/>
    <w:qFormat/>
    <w:rsid w:val="0003752E"/>
    <w:rPr>
      <w:i/>
      <w:iCs/>
      <w:color w:val="0F4761" w:themeColor="accent1" w:themeShade="BF"/>
    </w:rPr>
  </w:style>
  <w:style w:type="paragraph" w:styleId="CitaoIntensa">
    <w:name w:val="Intense Quote"/>
    <w:basedOn w:val="Normal"/>
    <w:next w:val="Normal"/>
    <w:link w:val="CitaoIntensaCarter"/>
    <w:uiPriority w:val="30"/>
    <w:qFormat/>
    <w:rsid w:val="0003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3752E"/>
    <w:rPr>
      <w:i/>
      <w:iCs/>
      <w:color w:val="0F4761" w:themeColor="accent1" w:themeShade="BF"/>
    </w:rPr>
  </w:style>
  <w:style w:type="character" w:styleId="RefernciaIntensa">
    <w:name w:val="Intense Reference"/>
    <w:basedOn w:val="Tipodeletrapredefinidodopargrafo"/>
    <w:uiPriority w:val="32"/>
    <w:qFormat/>
    <w:rsid w:val="0003752E"/>
    <w:rPr>
      <w:b/>
      <w:bCs/>
      <w:smallCaps/>
      <w:color w:val="0F4761" w:themeColor="accent1" w:themeShade="BF"/>
      <w:spacing w:val="5"/>
    </w:rPr>
  </w:style>
  <w:style w:type="character" w:styleId="Hiperligao">
    <w:name w:val="Hyperlink"/>
    <w:basedOn w:val="Tipodeletrapredefinidodopargrafo"/>
    <w:uiPriority w:val="99"/>
    <w:unhideWhenUsed/>
    <w:rsid w:val="009F6EFA"/>
    <w:rPr>
      <w:color w:val="467886" w:themeColor="hyperlink"/>
      <w:u w:val="single"/>
    </w:rPr>
  </w:style>
  <w:style w:type="character" w:styleId="MenoNoResolvida">
    <w:name w:val="Unresolved Mention"/>
    <w:basedOn w:val="Tipodeletrapredefinidodopargrafo"/>
    <w:uiPriority w:val="99"/>
    <w:semiHidden/>
    <w:unhideWhenUsed/>
    <w:rsid w:val="009F6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c.europa.eu/info/law/better-regulation/have-your-say/initiatives/14061-Welfare-and-traceability-of-dogs-and-cats-new-rules-/F3458445/report_en"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579</Words>
  <Characters>3127</Characters>
  <Application>Microsoft Office Word</Application>
  <DocSecurity>0</DocSecurity>
  <Lines>26</Lines>
  <Paragraphs>7</Paragraphs>
  <ScaleCrop>false</ScaleCrop>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André Vidal</dc:creator>
  <cp:keywords/>
  <dc:description/>
  <cp:lastModifiedBy>Rui André Vidal</cp:lastModifiedBy>
  <cp:revision>2</cp:revision>
  <dcterms:created xsi:type="dcterms:W3CDTF">2026-03-16T15:42:00Z</dcterms:created>
  <dcterms:modified xsi:type="dcterms:W3CDTF">2026-03-16T15:42:00Z</dcterms:modified>
</cp:coreProperties>
</file>