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97D"/>
          <w:sz w:val="26"/>
        </w:rPr>
        <w:t>Quadro comparativo — Artigo 11.º do Regulamento (UE) 2023/0447</w:t>
      </w:r>
    </w:p>
    <w:p>
      <w:pPr>
        <w:spacing w:after="40"/>
        <w:jc w:val="center"/>
      </w:pPr>
      <w:r>
        <w:rPr>
          <w:b/>
          <w:color w:val="2E2E2E"/>
          <w:sz w:val="20"/>
        </w:rPr>
        <w:t>Obrigação de informação de detenção responsável</w:t>
      </w:r>
    </w:p>
    <w:p>
      <w:pPr>
        <w:spacing w:after="120"/>
        <w:jc w:val="center"/>
      </w:pPr>
      <w:r>
        <w:rPr>
          <w:i/>
          <w:color w:val="606060"/>
          <w:sz w:val="16"/>
        </w:rPr>
        <w:t>Regulamento (UE) 2023/0447  ×  @codigo (DL 214/2013, art.º 57.º)  ×  @rgbeac (proposta jun. 2025, art.º 8.º)  ×  @legislacao (legislação vigente)</w:t>
      </w:r>
    </w:p>
    <w:p>
      <w:pPr>
        <w:spacing w:after="200"/>
        <w:jc w:val="center"/>
      </w:pPr>
      <w:r>
        <w:rPr>
          <w:color w:val="808080"/>
          <w:sz w:val="16"/>
        </w:rPr>
        <w:t>19/03/2026</w:t>
      </w:r>
    </w:p>
    <w:p>
      <w:pPr>
        <w:spacing w:before="120" w:after="40"/>
      </w:pPr>
      <w:r>
        <w:rPr>
          <w:b/>
          <w:color w:val="1F497D"/>
          <w:sz w:val="18"/>
        </w:rPr>
        <w:t>1. Obrigação geral de informação escrita ao adquirente</w:t>
      </w:r>
    </w:p>
    <w:tbl>
      <w:tblPr>
        <w:tblStyle w:val="TableGrid"/>
        <w:tblW w:type="auto" w:w="0"/>
        <w:tblLook w:firstColumn="1" w:firstRow="1" w:lastColumn="0" w:lastRow="0" w:noHBand="0" w:noVBand="1" w:val="04A0"/>
      </w:tblPr>
      <w:tblGrid>
        <w:gridCol w:w="2493"/>
        <w:gridCol w:w="2493"/>
        <w:gridCol w:w="2493"/>
        <w:gridCol w:w="2493"/>
      </w:tblGrid>
      <w:tr>
        <w:tc>
          <w:tcPr>
            <w:tcW w:type="dxa" w:w="2154"/>
            <w:shd w:val="clear" w:color="auto" w:fill="2E2E2E"/>
          </w:tcPr>
          <w:p>
            <w:pPr>
              <w:spacing w:before="0" w:after="20"/>
              <w:jc w:val="center"/>
            </w:pPr>
            <w:r>
              <w:rPr>
                <w:b/>
                <w:i w:val="0"/>
                <w:color w:val="FFFFFF"/>
                <w:sz w:val="16"/>
              </w:rPr>
              <w:t>Critério</w:t>
            </w:r>
          </w:p>
        </w:tc>
        <w:tc>
          <w:tcPr>
            <w:tcW w:type="dxa" w:w="2948"/>
            <w:shd w:val="clear" w:color="auto" w:fill="1F497D"/>
          </w:tcPr>
          <w:p>
            <w:pPr>
              <w:spacing w:before="0" w:after="20"/>
              <w:jc w:val="center"/>
            </w:pPr>
            <w:r>
              <w:rPr>
                <w:b/>
                <w:i w:val="0"/>
                <w:color w:val="FFFFFF"/>
                <w:sz w:val="16"/>
              </w:rPr>
              <w:t>@regulamento (UE) 2023/0447</w:t>
            </w:r>
          </w:p>
        </w:tc>
        <w:tc>
          <w:tcPr>
            <w:tcW w:type="dxa" w:w="2835"/>
            <w:shd w:val="clear" w:color="auto" w:fill="375A30"/>
          </w:tcPr>
          <w:p>
            <w:pPr>
              <w:spacing w:before="0" w:after="20"/>
              <w:jc w:val="center"/>
            </w:pPr>
            <w:r>
              <w:rPr>
                <w:b/>
                <w:i w:val="0"/>
                <w:color w:val="FFFFFF"/>
                <w:sz w:val="16"/>
              </w:rPr>
              <w:t>@codigo — DL 214/2013</w:t>
            </w:r>
          </w:p>
        </w:tc>
        <w:tc>
          <w:tcPr>
            <w:tcW w:type="dxa" w:w="2835"/>
            <w:shd w:val="clear" w:color="auto" w:fill="84360C"/>
          </w:tcPr>
          <w:p>
            <w:pPr>
              <w:spacing w:before="0" w:after="20"/>
              <w:jc w:val="center"/>
            </w:pPr>
            <w:r>
              <w:rPr>
                <w:b/>
                <w:i w:val="0"/>
                <w:color w:val="FFFFFF"/>
                <w:sz w:val="16"/>
              </w:rPr>
              <w:t>@rgbeac — proposta jun. 2025</w:t>
            </w:r>
          </w:p>
        </w:tc>
      </w:tr>
      <w:tr>
        <w:tc>
          <w:tcPr>
            <w:tcW w:type="dxa" w:w="2154"/>
          </w:tcPr>
          <w:p>
            <w:pPr>
              <w:spacing w:before="0" w:after="20"/>
              <w:jc w:val="left"/>
            </w:pPr>
            <w:r>
              <w:rPr>
                <w:b/>
                <w:i w:val="0"/>
                <w:sz w:val="16"/>
              </w:rPr>
              <w:t>Obrigação geral de informação escrita ao adquirente</w:t>
            </w:r>
          </w:p>
        </w:tc>
        <w:tc>
          <w:tcPr>
            <w:tcW w:type="dxa" w:w="2948"/>
          </w:tcPr>
          <w:p>
            <w:pPr>
              <w:spacing w:before="0" w:after="20"/>
              <w:jc w:val="left"/>
            </w:pPr>
            <w:r>
              <w:rPr>
                <w:b w:val="0"/>
                <w:i w:val="0"/>
                <w:color w:val="1F497D"/>
                <w:sz w:val="16"/>
              </w:rPr>
              <w:t>"Operators shall provide the acquirer of a dog or cat written information necessary to enable the acquirer to ensure the animal's welfare, including information on responsible ownership and on the specific needs of the animal in terms of feeding, care, health and housing, as well as information on its behavioural needs and health history."</w:t>
            </w:r>
          </w:p>
          <w:p>
            <w:pPr>
              <w:spacing w:before="0" w:after="20"/>
              <w:jc w:val="left"/>
            </w:pPr>
            <w:r>
              <w:rPr>
                <w:b/>
                <w:i w:val="0"/>
                <w:color w:val="1F497D"/>
                <w:sz w:val="15"/>
              </w:rPr>
              <w:t>(Art.º 11.º, § 1)</w:t>
            </w:r>
          </w:p>
        </w:tc>
        <w:tc>
          <w:tcPr>
            <w:tcW w:type="dxa" w:w="2835"/>
          </w:tcPr>
          <w:p>
            <w:pPr>
              <w:spacing w:before="0" w:after="20"/>
              <w:jc w:val="left"/>
            </w:pPr>
            <w:r>
              <w:rPr>
                <w:b w:val="0"/>
                <w:i w:val="0"/>
                <w:color w:val="375A30"/>
                <w:sz w:val="16"/>
              </w:rPr>
              <w:t>"Os criadores e comerciantes devem fornecer informação escrita completa ao adquirente antes da transferência do animal, incluindo dados de identificação e cuidados de saúde."</w:t>
            </w:r>
          </w:p>
          <w:p>
            <w:pPr>
              <w:spacing w:before="0" w:after="20"/>
              <w:jc w:val="left"/>
            </w:pPr>
            <w:r>
              <w:rPr>
                <w:b/>
                <w:i w:val="0"/>
                <w:color w:val="375A30"/>
                <w:sz w:val="15"/>
              </w:rPr>
              <w:t>(Art.º 57.º, § 2)</w:t>
            </w:r>
          </w:p>
        </w:tc>
        <w:tc>
          <w:tcPr>
            <w:tcW w:type="dxa" w:w="2835"/>
          </w:tcPr>
          <w:p>
            <w:pPr>
              <w:spacing w:before="0" w:after="20"/>
              <w:jc w:val="left"/>
            </w:pPr>
            <w:r>
              <w:rPr>
                <w:b w:val="0"/>
                <w:i w:val="0"/>
                <w:color w:val="84360C"/>
                <w:sz w:val="16"/>
              </w:rPr>
              <w:t>"2 — Os comerciantes devem fornecer por escrito ao adquirente informação completa antes da transferência do animal, incluindo identidade e dados de contacto do comerciante, dados de identificação do animal, cuidados de saúde e estado de vacinação, e certificado de origem ou de compatibilidade quando aplicável."</w:t>
            </w:r>
          </w:p>
          <w:p>
            <w:pPr>
              <w:spacing w:before="0" w:after="20"/>
              <w:jc w:val="left"/>
            </w:pPr>
            <w:r>
              <w:rPr>
                <w:b/>
                <w:i w:val="0"/>
                <w:color w:val="84360C"/>
                <w:sz w:val="15"/>
              </w:rPr>
              <w:t>(Art.º 8.º, n.º 2)</w:t>
            </w:r>
          </w:p>
        </w:tc>
      </w:tr>
      <w:tr>
        <w:tc>
          <w:tcPr>
            <w:tcW w:type="dxa" w:w="2154"/>
          </w:tcPr>
          <w:p>
            <w:pPr>
              <w:spacing w:before="0" w:after="20"/>
              <w:jc w:val="left"/>
            </w:pPr>
            <w:r>
              <w:rPr>
                <w:b/>
                <w:i w:val="0"/>
                <w:sz w:val="16"/>
              </w:rPr>
              <w:t>Informação ao detentor</w:t>
              <w:br/>
              <w:t>(âmbito mais amplo — não limitado ao momento da transmissão)</w:t>
            </w:r>
          </w:p>
        </w:tc>
        <w:tc>
          <w:tcPr>
            <w:tcW w:type="dxa" w:w="2948"/>
          </w:tcPr>
          <w:p>
            <w:pPr>
              <w:spacing w:before="0" w:after="20"/>
              <w:jc w:val="left"/>
            </w:pPr>
            <w:r>
              <w:rPr>
                <w:b w:val="0"/>
                <w:i/>
                <w:color w:val="A0A0A0"/>
                <w:sz w:val="16"/>
              </w:rPr>
              <w:t>Não previsto neste artigo — obrigação dirigida exclusivamente ao adquirente no contexto da transmissão do animal.</w:t>
            </w:r>
          </w:p>
        </w:tc>
        <w:tc>
          <w:tcPr>
            <w:tcW w:type="dxa" w:w="2835"/>
          </w:tcPr>
          <w:p>
            <w:pPr>
              <w:spacing w:before="0" w:after="20"/>
              <w:jc w:val="left"/>
            </w:pPr>
            <w:r>
              <w:rPr>
                <w:b w:val="0"/>
                <w:i w:val="0"/>
                <w:color w:val="375A30"/>
                <w:sz w:val="16"/>
              </w:rPr>
              <w:t>"O detentor do animal deve ter acesso à informação sobre:</w:t>
              <w:br/>
              <w:t>— As obrigações inerentes à sua detenção, direitos e responsabilidades;</w:t>
              <w:br/>
              <w:t>— As normas de bem-estar, cuidados de saúde e comportamento esperado;</w:t>
              <w:br/>
              <w:t>— As necessidades específicas da espécie ou raça;</w:t>
              <w:br/>
              <w:t>— A duração de vida esperada;</w:t>
              <w:br/>
              <w:t>— Os custos de manutenção;</w:t>
              <w:br/>
              <w:t>— A proibição de abandono."</w:t>
            </w:r>
          </w:p>
          <w:p>
            <w:pPr>
              <w:spacing w:before="0" w:after="20"/>
              <w:jc w:val="left"/>
            </w:pPr>
            <w:r>
              <w:rPr>
                <w:b/>
                <w:i w:val="0"/>
                <w:color w:val="375A30"/>
                <w:sz w:val="15"/>
              </w:rPr>
              <w:t>(Art.º 57.º, § 1)</w:t>
            </w:r>
          </w:p>
        </w:tc>
        <w:tc>
          <w:tcPr>
            <w:tcW w:type="dxa" w:w="2835"/>
          </w:tcPr>
          <w:p>
            <w:pPr>
              <w:spacing w:before="0" w:after="20"/>
              <w:jc w:val="left"/>
            </w:pPr>
            <w:r>
              <w:rPr>
                <w:b w:val="0"/>
                <w:i w:val="0"/>
                <w:color w:val="84360C"/>
                <w:sz w:val="16"/>
              </w:rPr>
              <w:t>"1 — O detentor do animal de companhia deve possuir informação sobre as obrigações inerentes à sua detenção, incluindo direitos e responsabilidades, normas de bem-estar, cuidados de saúde, comportamento, necessidades específicas da espécie/raça, duração de vida esperada, custos de manutenção, e proibição de abandono."</w:t>
            </w:r>
          </w:p>
          <w:p>
            <w:pPr>
              <w:spacing w:before="0" w:after="20"/>
              <w:jc w:val="left"/>
            </w:pPr>
            <w:r>
              <w:rPr>
                <w:b/>
                <w:i w:val="0"/>
                <w:color w:val="84360C"/>
                <w:sz w:val="15"/>
              </w:rPr>
              <w:t>(Art.º 8.º, n.º 1)</w:t>
            </w:r>
          </w:p>
        </w:tc>
      </w:tr>
    </w:tbl>
    <w:p>
      <w:pPr>
        <w:spacing w:before="160" w:after="40"/>
      </w:pPr>
      <w:r>
        <w:rPr>
          <w:b/>
          <w:color w:val="1F497D"/>
          <w:sz w:val="18"/>
        </w:rPr>
        <w:t>2. Historial de saúde — requisitos mínimos obrigatórios (Art.º 11.º, § 2)</w:t>
      </w:r>
    </w:p>
    <w:tbl>
      <w:tblPr>
        <w:tblStyle w:val="TableGrid"/>
        <w:tblW w:type="auto" w:w="0"/>
        <w:tblLook w:firstColumn="1" w:firstRow="1" w:lastColumn="0" w:lastRow="0" w:noHBand="0" w:noVBand="1" w:val="04A0"/>
      </w:tblPr>
      <w:tblGrid>
        <w:gridCol w:w="2493"/>
        <w:gridCol w:w="2493"/>
        <w:gridCol w:w="2493"/>
        <w:gridCol w:w="2493"/>
      </w:tblGrid>
      <w:tr>
        <w:tc>
          <w:tcPr>
            <w:tcW w:type="dxa" w:w="2154"/>
            <w:shd w:val="clear" w:color="auto" w:fill="2E2E2E"/>
          </w:tcPr>
          <w:p>
            <w:pPr>
              <w:spacing w:before="0" w:after="20"/>
              <w:jc w:val="center"/>
            </w:pPr>
            <w:r>
              <w:rPr>
                <w:b/>
                <w:i w:val="0"/>
                <w:color w:val="FFFFFF"/>
                <w:sz w:val="16"/>
              </w:rPr>
              <w:t>Critério</w:t>
            </w:r>
          </w:p>
        </w:tc>
        <w:tc>
          <w:tcPr>
            <w:tcW w:type="dxa" w:w="2948"/>
            <w:shd w:val="clear" w:color="auto" w:fill="1F497D"/>
          </w:tcPr>
          <w:p>
            <w:pPr>
              <w:spacing w:before="0" w:after="20"/>
              <w:jc w:val="center"/>
            </w:pPr>
            <w:r>
              <w:rPr>
                <w:b/>
                <w:i w:val="0"/>
                <w:color w:val="FFFFFF"/>
                <w:sz w:val="16"/>
              </w:rPr>
              <w:t>@regulamento (UE) 2023/0447</w:t>
            </w:r>
          </w:p>
        </w:tc>
        <w:tc>
          <w:tcPr>
            <w:tcW w:type="dxa" w:w="2835"/>
            <w:shd w:val="clear" w:color="auto" w:fill="375A30"/>
          </w:tcPr>
          <w:p>
            <w:pPr>
              <w:spacing w:before="0" w:after="20"/>
              <w:jc w:val="center"/>
            </w:pPr>
            <w:r>
              <w:rPr>
                <w:b/>
                <w:i w:val="0"/>
                <w:color w:val="FFFFFF"/>
                <w:sz w:val="16"/>
              </w:rPr>
              <w:t>@codigo — DL 214/2013</w:t>
            </w:r>
          </w:p>
        </w:tc>
        <w:tc>
          <w:tcPr>
            <w:tcW w:type="dxa" w:w="2835"/>
            <w:shd w:val="clear" w:color="auto" w:fill="84360C"/>
          </w:tcPr>
          <w:p>
            <w:pPr>
              <w:spacing w:before="0" w:after="20"/>
              <w:jc w:val="center"/>
            </w:pPr>
            <w:r>
              <w:rPr>
                <w:b/>
                <w:i w:val="0"/>
                <w:color w:val="FFFFFF"/>
                <w:sz w:val="16"/>
              </w:rPr>
              <w:t>@rgbeac — proposta jun. 2025</w:t>
            </w:r>
          </w:p>
        </w:tc>
      </w:tr>
      <w:tr>
        <w:tc>
          <w:tcPr>
            <w:tcW w:type="dxa" w:w="2154"/>
          </w:tcPr>
          <w:p>
            <w:pPr>
              <w:spacing w:before="0" w:after="20"/>
              <w:jc w:val="left"/>
            </w:pPr>
            <w:r>
              <w:rPr>
                <w:b/>
                <w:i w:val="0"/>
                <w:sz w:val="16"/>
              </w:rPr>
              <w:t>Estado de vacinação</w:t>
            </w:r>
          </w:p>
        </w:tc>
        <w:tc>
          <w:tcPr>
            <w:tcW w:type="dxa" w:w="2948"/>
          </w:tcPr>
          <w:p>
            <w:pPr>
              <w:spacing w:before="0" w:after="20"/>
              <w:jc w:val="left"/>
            </w:pPr>
            <w:r>
              <w:rPr>
                <w:b w:val="0"/>
                <w:i w:val="0"/>
                <w:color w:val="1F497D"/>
                <w:sz w:val="16"/>
              </w:rPr>
              <w:t>"the animal's vaccination status;"</w:t>
            </w:r>
          </w:p>
          <w:p>
            <w:pPr>
              <w:spacing w:before="0" w:after="20"/>
              <w:jc w:val="left"/>
            </w:pPr>
            <w:r>
              <w:rPr>
                <w:b/>
                <w:i w:val="0"/>
                <w:color w:val="1F497D"/>
                <w:sz w:val="15"/>
              </w:rPr>
              <w:t>(Art.º 11.º, § 2, al. a)</w:t>
            </w:r>
          </w:p>
        </w:tc>
        <w:tc>
          <w:tcPr>
            <w:tcW w:type="dxa" w:w="2835"/>
          </w:tcPr>
          <w:p>
            <w:pPr>
              <w:spacing w:before="0" w:after="20"/>
              <w:jc w:val="left"/>
            </w:pPr>
            <w:r>
              <w:rPr>
                <w:b w:val="0"/>
                <w:i/>
                <w:color w:val="375A30"/>
                <w:sz w:val="16"/>
              </w:rPr>
              <w:t>Estado de vacinação implícito em "cuidados de saúde" — não especificado expressamente.</w:t>
            </w:r>
          </w:p>
          <w:p>
            <w:pPr>
              <w:spacing w:before="0" w:after="20"/>
              <w:jc w:val="left"/>
            </w:pPr>
            <w:r>
              <w:rPr>
                <w:b/>
                <w:i w:val="0"/>
                <w:color w:val="375A30"/>
                <w:sz w:val="15"/>
              </w:rPr>
              <w:t>(Art.º 57.º, § 2)</w:t>
            </w:r>
          </w:p>
        </w:tc>
        <w:tc>
          <w:tcPr>
            <w:tcW w:type="dxa" w:w="2835"/>
          </w:tcPr>
          <w:p>
            <w:pPr>
              <w:spacing w:before="0" w:after="20"/>
              <w:jc w:val="left"/>
            </w:pPr>
            <w:r>
              <w:rPr>
                <w:b w:val="0"/>
                <w:i w:val="0"/>
                <w:color w:val="84360C"/>
                <w:sz w:val="16"/>
              </w:rPr>
              <w:t>"estado de vacinação" — expressamente previsto.</w:t>
            </w:r>
          </w:p>
          <w:p>
            <w:pPr>
              <w:spacing w:before="0" w:after="20"/>
              <w:jc w:val="left"/>
            </w:pPr>
            <w:r>
              <w:rPr>
                <w:b/>
                <w:i w:val="0"/>
                <w:color w:val="84360C"/>
                <w:sz w:val="15"/>
              </w:rPr>
              <w:t>(Art.º 8.º, n.º 2)</w:t>
            </w:r>
          </w:p>
        </w:tc>
      </w:tr>
      <w:tr>
        <w:tc>
          <w:tcPr>
            <w:tcW w:type="dxa" w:w="2154"/>
          </w:tcPr>
          <w:p>
            <w:pPr>
              <w:spacing w:before="0" w:after="20"/>
              <w:jc w:val="left"/>
            </w:pPr>
            <w:r>
              <w:rPr>
                <w:b/>
                <w:i w:val="0"/>
                <w:sz w:val="16"/>
              </w:rPr>
              <w:t>Condições médicas, predisposições a doenças e resultados de testes de diagnóstico</w:t>
            </w:r>
          </w:p>
        </w:tc>
        <w:tc>
          <w:tcPr>
            <w:tcW w:type="dxa" w:w="2948"/>
          </w:tcPr>
          <w:p>
            <w:pPr>
              <w:spacing w:before="0" w:after="20"/>
              <w:jc w:val="left"/>
            </w:pPr>
            <w:r>
              <w:rPr>
                <w:b w:val="0"/>
                <w:i w:val="0"/>
                <w:color w:val="1F497D"/>
                <w:sz w:val="16"/>
              </w:rPr>
              <w:t>"any medical conditions or predispositions to diseases, including allergies, that are known to the operator, and any diagnostic test results for the dog or cat that are available to the operator."</w:t>
            </w:r>
          </w:p>
          <w:p>
            <w:pPr>
              <w:spacing w:before="0" w:after="20"/>
              <w:jc w:val="left"/>
            </w:pPr>
            <w:r>
              <w:rPr>
                <w:b/>
                <w:i w:val="0"/>
                <w:color w:val="1F497D"/>
                <w:sz w:val="15"/>
              </w:rPr>
              <w:t>(Art.º 11.º, § 2, al. b)</w:t>
            </w:r>
          </w:p>
        </w:tc>
        <w:tc>
          <w:tcPr>
            <w:tcW w:type="dxa" w:w="2835"/>
          </w:tcPr>
          <w:p>
            <w:pPr>
              <w:spacing w:before="0" w:after="20"/>
              <w:jc w:val="left"/>
            </w:pPr>
            <w:r>
              <w:rPr>
                <w:b w:val="0"/>
                <w:i/>
                <w:color w:val="A0A0A0"/>
                <w:sz w:val="16"/>
              </w:rPr>
              <w:t>Não previsto.</w:t>
            </w:r>
          </w:p>
        </w:tc>
        <w:tc>
          <w:tcPr>
            <w:tcW w:type="dxa" w:w="2835"/>
          </w:tcPr>
          <w:p>
            <w:pPr>
              <w:spacing w:before="0" w:after="20"/>
              <w:jc w:val="left"/>
            </w:pPr>
            <w:r>
              <w:rPr>
                <w:b w:val="0"/>
                <w:i/>
                <w:color w:val="A0A0A0"/>
                <w:sz w:val="16"/>
              </w:rPr>
              <w:t>Não previsto.</w:t>
            </w:r>
          </w:p>
        </w:tc>
      </w:tr>
    </w:tbl>
    <w:p>
      <w:pPr>
        <w:spacing w:before="160" w:after="40"/>
      </w:pPr>
      <w:r>
        <w:rPr>
          <w:b/>
          <w:color w:val="1F497D"/>
          <w:sz w:val="18"/>
        </w:rPr>
        <w:t>3. Transmissão de documentos sanitários ao adquirente (Art.º 11.º, § 3)</w:t>
      </w:r>
    </w:p>
    <w:tbl>
      <w:tblPr>
        <w:tblStyle w:val="TableGrid"/>
        <w:tblW w:type="auto" w:w="0"/>
        <w:tblLook w:firstColumn="1" w:firstRow="1" w:lastColumn="0" w:lastRow="0" w:noHBand="0" w:noVBand="1" w:val="04A0"/>
      </w:tblPr>
      <w:tblGrid>
        <w:gridCol w:w="2493"/>
        <w:gridCol w:w="2493"/>
        <w:gridCol w:w="2493"/>
        <w:gridCol w:w="2493"/>
      </w:tblGrid>
      <w:tr>
        <w:tc>
          <w:tcPr>
            <w:tcW w:type="dxa" w:w="2154"/>
            <w:shd w:val="clear" w:color="auto" w:fill="2E2E2E"/>
          </w:tcPr>
          <w:p>
            <w:pPr>
              <w:spacing w:before="0" w:after="20"/>
              <w:jc w:val="center"/>
            </w:pPr>
            <w:r>
              <w:rPr>
                <w:b/>
                <w:i w:val="0"/>
                <w:color w:val="FFFFFF"/>
                <w:sz w:val="16"/>
              </w:rPr>
              <w:t>Critério</w:t>
            </w:r>
          </w:p>
        </w:tc>
        <w:tc>
          <w:tcPr>
            <w:tcW w:type="dxa" w:w="2948"/>
            <w:shd w:val="clear" w:color="auto" w:fill="1F497D"/>
          </w:tcPr>
          <w:p>
            <w:pPr>
              <w:spacing w:before="0" w:after="20"/>
              <w:jc w:val="center"/>
            </w:pPr>
            <w:r>
              <w:rPr>
                <w:b/>
                <w:i w:val="0"/>
                <w:color w:val="FFFFFF"/>
                <w:sz w:val="16"/>
              </w:rPr>
              <w:t>@regulamento (UE) 2023/0447</w:t>
            </w:r>
          </w:p>
        </w:tc>
        <w:tc>
          <w:tcPr>
            <w:tcW w:type="dxa" w:w="2835"/>
            <w:shd w:val="clear" w:color="auto" w:fill="375A30"/>
          </w:tcPr>
          <w:p>
            <w:pPr>
              <w:spacing w:before="0" w:after="20"/>
              <w:jc w:val="center"/>
            </w:pPr>
            <w:r>
              <w:rPr>
                <w:b/>
                <w:i w:val="0"/>
                <w:color w:val="FFFFFF"/>
                <w:sz w:val="16"/>
              </w:rPr>
              <w:t>@codigo — DL 214/2013</w:t>
            </w:r>
          </w:p>
        </w:tc>
        <w:tc>
          <w:tcPr>
            <w:tcW w:type="dxa" w:w="2835"/>
            <w:shd w:val="clear" w:color="auto" w:fill="84360C"/>
          </w:tcPr>
          <w:p>
            <w:pPr>
              <w:spacing w:before="0" w:after="20"/>
              <w:jc w:val="center"/>
            </w:pPr>
            <w:r>
              <w:rPr>
                <w:b/>
                <w:i w:val="0"/>
                <w:color w:val="FFFFFF"/>
                <w:sz w:val="16"/>
              </w:rPr>
              <w:t>@rgbeac — proposta jun. 2025</w:t>
            </w:r>
          </w:p>
        </w:tc>
      </w:tr>
      <w:tr>
        <w:tc>
          <w:tcPr>
            <w:tcW w:type="dxa" w:w="2154"/>
          </w:tcPr>
          <w:p>
            <w:pPr>
              <w:spacing w:before="0" w:after="20"/>
              <w:jc w:val="left"/>
            </w:pPr>
            <w:r>
              <w:rPr>
                <w:b/>
                <w:i w:val="0"/>
                <w:sz w:val="16"/>
              </w:rPr>
              <w:t>Transmissão de documento exigido pelo Reg. (UE) 2016/429</w:t>
            </w:r>
          </w:p>
        </w:tc>
        <w:tc>
          <w:tcPr>
            <w:tcW w:type="dxa" w:w="2948"/>
          </w:tcPr>
          <w:p>
            <w:pPr>
              <w:spacing w:before="0" w:after="20"/>
              <w:jc w:val="left"/>
            </w:pPr>
            <w:r>
              <w:rPr>
                <w:b w:val="0"/>
                <w:i w:val="0"/>
                <w:color w:val="1F497D"/>
                <w:sz w:val="16"/>
              </w:rPr>
              <w:t>"Where the information on the animal's health history is set out in a document required under Regulation (EU) 2016/429, the operator shall transmit that document to the acquirer."</w:t>
            </w:r>
          </w:p>
          <w:p>
            <w:pPr>
              <w:spacing w:before="0" w:after="20"/>
              <w:jc w:val="left"/>
            </w:pPr>
            <w:r>
              <w:rPr>
                <w:b/>
                <w:i w:val="0"/>
                <w:color w:val="1F497D"/>
                <w:sz w:val="15"/>
              </w:rPr>
              <w:t>(Art.º 11.º, § 3)</w:t>
            </w:r>
          </w:p>
        </w:tc>
        <w:tc>
          <w:tcPr>
            <w:tcW w:type="dxa" w:w="2835"/>
          </w:tcPr>
          <w:p>
            <w:pPr>
              <w:spacing w:before="0" w:after="20"/>
              <w:jc w:val="left"/>
            </w:pPr>
            <w:r>
              <w:rPr>
                <w:b w:val="0"/>
                <w:i/>
                <w:color w:val="A0A0A0"/>
                <w:sz w:val="16"/>
              </w:rPr>
              <w:t>Não previsto.</w:t>
            </w:r>
          </w:p>
        </w:tc>
        <w:tc>
          <w:tcPr>
            <w:tcW w:type="dxa" w:w="2835"/>
          </w:tcPr>
          <w:p>
            <w:pPr>
              <w:spacing w:before="0" w:after="20"/>
              <w:jc w:val="left"/>
            </w:pPr>
            <w:r>
              <w:rPr>
                <w:b w:val="0"/>
                <w:i/>
                <w:color w:val="A0A0A0"/>
                <w:sz w:val="16"/>
              </w:rPr>
              <w:t>Não previsto.</w:t>
            </w:r>
          </w:p>
        </w:tc>
      </w:tr>
    </w:tbl>
    <w:p>
      <w:pPr>
        <w:spacing w:before="200" w:after="40"/>
      </w:pPr>
      <w:r>
        <w:rPr>
          <w:b/>
          <w:color w:val="800000"/>
          <w:sz w:val="18"/>
        </w:rPr>
        <w:t>4. Divergências face ao @regulamento e proposta de harmonização</w:t>
      </w:r>
    </w:p>
    <w:tbl>
      <w:tblPr>
        <w:tblStyle w:val="TableGrid"/>
        <w:tblW w:type="auto" w:w="0"/>
        <w:tblLook w:firstColumn="1" w:firstRow="1" w:lastColumn="0" w:lastRow="0" w:noHBand="0" w:noVBand="1" w:val="04A0"/>
      </w:tblPr>
      <w:tblGrid>
        <w:gridCol w:w="2493"/>
        <w:gridCol w:w="2493"/>
        <w:gridCol w:w="2493"/>
        <w:gridCol w:w="2493"/>
      </w:tblGrid>
      <w:tr>
        <w:tc>
          <w:tcPr>
            <w:tcW w:type="dxa" w:w="2154"/>
            <w:shd w:val="clear" w:color="auto" w:fill="5C0000"/>
          </w:tcPr>
          <w:p>
            <w:pPr>
              <w:spacing w:before="0" w:after="20"/>
              <w:jc w:val="center"/>
            </w:pPr>
            <w:r>
              <w:rPr>
                <w:b/>
                <w:i w:val="0"/>
                <w:color w:val="FFFFFF"/>
                <w:sz w:val="16"/>
              </w:rPr>
            </w:r>
          </w:p>
        </w:tc>
        <w:tc>
          <w:tcPr>
            <w:tcW w:type="dxa" w:w="2268"/>
            <w:shd w:val="clear" w:color="auto" w:fill="505050"/>
          </w:tcPr>
          <w:p>
            <w:pPr>
              <w:spacing w:before="0" w:after="20"/>
              <w:jc w:val="center"/>
            </w:pPr>
            <w:r>
              <w:rPr>
                <w:b/>
                <w:i w:val="0"/>
                <w:color w:val="FFFFFF"/>
                <w:sz w:val="16"/>
              </w:rPr>
              <w:t>@legislacao — legislação vigente</w:t>
            </w:r>
          </w:p>
        </w:tc>
        <w:tc>
          <w:tcPr>
            <w:tcW w:type="dxa" w:w="2891"/>
            <w:shd w:val="clear" w:color="auto" w:fill="375A30"/>
          </w:tcPr>
          <w:p>
            <w:pPr>
              <w:spacing w:before="0" w:after="20"/>
              <w:jc w:val="center"/>
            </w:pPr>
            <w:r>
              <w:rPr>
                <w:b/>
                <w:i w:val="0"/>
                <w:color w:val="FFFFFF"/>
                <w:sz w:val="16"/>
              </w:rPr>
              <w:t>@codigo — DL 214/2013</w:t>
            </w:r>
          </w:p>
        </w:tc>
        <w:tc>
          <w:tcPr>
            <w:tcW w:type="dxa" w:w="3458"/>
            <w:shd w:val="clear" w:color="auto" w:fill="84360C"/>
          </w:tcPr>
          <w:p>
            <w:pPr>
              <w:spacing w:before="0" w:after="20"/>
              <w:jc w:val="center"/>
            </w:pPr>
            <w:r>
              <w:rPr>
                <w:b/>
                <w:i w:val="0"/>
                <w:color w:val="FFFFFF"/>
                <w:sz w:val="16"/>
              </w:rPr>
              <w:t>@rgbeac — proposta jun. 2025</w:t>
            </w:r>
          </w:p>
        </w:tc>
      </w:tr>
      <w:tr>
        <w:tc>
          <w:tcPr>
            <w:tcW w:type="dxa" w:w="2154"/>
            <w:shd w:val="clear" w:color="auto" w:fill="5C0000"/>
          </w:tcPr>
          <w:p>
            <w:pPr>
              <w:spacing w:before="0" w:after="20"/>
              <w:jc w:val="left"/>
            </w:pPr>
            <w:r>
              <w:rPr>
                <w:b/>
                <w:i w:val="0"/>
                <w:color w:val="FFFFFF"/>
                <w:sz w:val="16"/>
              </w:rPr>
              <w:t>Divergência vs. @regulamento</w:t>
            </w:r>
          </w:p>
        </w:tc>
        <w:tc>
          <w:tcPr>
            <w:tcW w:type="dxa" w:w="2268"/>
          </w:tcPr>
          <w:p>
            <w:pPr>
              <w:spacing w:before="0" w:after="20"/>
              <w:jc w:val="left"/>
            </w:pPr>
            <w:r>
              <w:rPr>
                <w:b w:val="0"/>
                <w:i/>
                <w:color w:val="A0A0A0"/>
                <w:sz w:val="16"/>
              </w:rPr>
              <w:t>Sem equivalência na legislação vigente.</w:t>
            </w:r>
          </w:p>
        </w:tc>
        <w:tc>
          <w:tcPr>
            <w:tcW w:type="dxa" w:w="2891"/>
          </w:tcPr>
          <w:p>
            <w:pPr>
              <w:spacing w:before="0" w:after="20"/>
              <w:jc w:val="left"/>
            </w:pPr>
            <w:r>
              <w:rPr>
                <w:b/>
                <w:i w:val="0"/>
                <w:color w:val="375A30"/>
                <w:sz w:val="16"/>
              </w:rPr>
              <w:t>Faltam:</w:t>
            </w:r>
          </w:p>
          <w:p>
            <w:pPr>
              <w:spacing w:before="0" w:after="0"/>
              <w:ind w:left="227"/>
              <w:jc w:val="left"/>
            </w:pPr>
            <w:r>
              <w:rPr>
                <w:color w:val="375A30"/>
                <w:sz w:val="16"/>
              </w:rPr>
              <w:t>• condições médicas ou predisposições a doenças (incluindo alergias) conhecidas pelo operador;</w:t>
            </w:r>
          </w:p>
          <w:p>
            <w:pPr>
              <w:spacing w:before="0" w:after="0"/>
              <w:ind w:left="227"/>
              <w:jc w:val="left"/>
            </w:pPr>
            <w:r>
              <w:rPr>
                <w:color w:val="375A30"/>
                <w:sz w:val="16"/>
              </w:rPr>
              <w:t>• resultados de testes de diagnóstico disponíveis para o operador;</w:t>
            </w:r>
          </w:p>
          <w:p>
            <w:pPr>
              <w:spacing w:before="0" w:after="0"/>
              <w:ind w:left="227"/>
              <w:jc w:val="left"/>
            </w:pPr>
            <w:r>
              <w:rPr>
                <w:color w:val="375A30"/>
                <w:sz w:val="16"/>
              </w:rPr>
              <w:t>• obrigação de transmissão de documentos exigidos pelo Reg. (UE) 2016/429.</w:t>
            </w:r>
          </w:p>
        </w:tc>
        <w:tc>
          <w:tcPr>
            <w:tcW w:type="dxa" w:w="3458"/>
          </w:tcPr>
          <w:p>
            <w:pPr>
              <w:spacing w:before="0" w:after="20"/>
              <w:jc w:val="left"/>
            </w:pPr>
            <w:r>
              <w:rPr>
                <w:b w:val="0"/>
                <w:i w:val="0"/>
                <w:color w:val="84360C"/>
                <w:sz w:val="16"/>
              </w:rPr>
              <w:t>Recupera todos os elementos do @codigo.</w:t>
              <w:br/>
              <w:t>Faltam igualmente:</w:t>
            </w:r>
          </w:p>
          <w:p>
            <w:pPr>
              <w:spacing w:before="0" w:after="0"/>
              <w:ind w:left="227"/>
              <w:jc w:val="left"/>
            </w:pPr>
            <w:r>
              <w:rPr>
                <w:color w:val="84360C"/>
                <w:sz w:val="16"/>
              </w:rPr>
              <w:t>• condições médicas ou predisposições a doenças (incluindo alergias) conhecidas pelo operador;</w:t>
            </w:r>
          </w:p>
          <w:p>
            <w:pPr>
              <w:spacing w:before="0" w:after="0"/>
              <w:ind w:left="227"/>
              <w:jc w:val="left"/>
            </w:pPr>
            <w:r>
              <w:rPr>
                <w:color w:val="84360C"/>
                <w:sz w:val="16"/>
              </w:rPr>
              <w:t>• resultados de testes de diagnóstico disponíveis para o operador;</w:t>
            </w:r>
          </w:p>
          <w:p>
            <w:pPr>
              <w:spacing w:before="0" w:after="0"/>
              <w:ind w:left="227"/>
              <w:jc w:val="left"/>
            </w:pPr>
            <w:r>
              <w:rPr>
                <w:color w:val="84360C"/>
                <w:sz w:val="16"/>
              </w:rPr>
              <w:t>• obrigação de transmissão de documentos exigidos pelo Reg. (UE) 2016/429.</w:t>
            </w:r>
          </w:p>
        </w:tc>
      </w:tr>
      <w:tr>
        <w:tc>
          <w:tcPr>
            <w:tcW w:type="dxa" w:w="2154"/>
            <w:shd w:val="clear" w:color="auto" w:fill="5C0000"/>
          </w:tcPr>
          <w:p>
            <w:pPr>
              <w:spacing w:before="0" w:after="20"/>
              <w:jc w:val="left"/>
            </w:pPr>
            <w:r>
              <w:rPr>
                <w:b/>
                <w:i w:val="0"/>
                <w:color w:val="FFFFFF"/>
                <w:sz w:val="16"/>
              </w:rPr>
              <w:t>Necessidade de alteração</w:t>
            </w:r>
          </w:p>
        </w:tc>
        <w:tc>
          <w:tcPr>
            <w:tcW w:type="dxa" w:w="2268"/>
          </w:tcPr>
          <w:p>
            <w:pPr>
              <w:spacing w:before="0" w:after="20"/>
              <w:jc w:val="left"/>
            </w:pPr>
            <w:r>
              <w:rPr>
                <w:b w:val="0"/>
                <w:i w:val="0"/>
                <w:color w:val="A0A0A0"/>
                <w:sz w:val="16"/>
              </w:rPr>
              <w:t>—</w:t>
            </w:r>
          </w:p>
        </w:tc>
        <w:tc>
          <w:tcPr>
            <w:tcW w:type="dxa" w:w="2891"/>
          </w:tcPr>
          <w:p>
            <w:pPr>
              <w:spacing w:before="0" w:after="20"/>
              <w:jc w:val="left"/>
            </w:pPr>
            <w:r>
              <w:rPr>
                <w:b/>
                <w:i w:val="0"/>
                <w:color w:val="375A30"/>
                <w:sz w:val="16"/>
              </w:rPr>
              <w:t>Sim</w:t>
            </w:r>
          </w:p>
        </w:tc>
        <w:tc>
          <w:tcPr>
            <w:tcW w:type="dxa" w:w="3458"/>
          </w:tcPr>
          <w:p>
            <w:pPr>
              <w:spacing w:before="0" w:after="20"/>
              <w:jc w:val="left"/>
            </w:pPr>
            <w:r>
              <w:rPr>
                <w:b/>
                <w:i w:val="0"/>
                <w:color w:val="84360C"/>
                <w:sz w:val="16"/>
              </w:rPr>
              <w:t>Sim</w:t>
            </w:r>
          </w:p>
        </w:tc>
      </w:tr>
      <w:tr>
        <w:tc>
          <w:tcPr>
            <w:tcW w:type="dxa" w:w="2154"/>
            <w:shd w:val="clear" w:color="auto" w:fill="5C0000"/>
          </w:tcPr>
          <w:p>
            <w:pPr>
              <w:spacing w:before="0" w:after="20"/>
              <w:jc w:val="left"/>
            </w:pPr>
            <w:r>
              <w:rPr>
                <w:b/>
                <w:i w:val="0"/>
                <w:color w:val="FFFFFF"/>
                <w:sz w:val="16"/>
              </w:rPr>
              <w:t>Proposta de harmonização</w:t>
            </w:r>
          </w:p>
        </w:tc>
        <w:tc>
          <w:tcPr>
            <w:tcW w:type="dxa" w:w="2268"/>
          </w:tcPr>
          <w:p>
            <w:pPr>
              <w:spacing w:before="0" w:after="20"/>
              <w:jc w:val="left"/>
            </w:pPr>
            <w:r>
              <w:rPr>
                <w:b w:val="0"/>
                <w:i w:val="0"/>
                <w:color w:val="A0A0A0"/>
                <w:sz w:val="16"/>
              </w:rPr>
              <w:t>—</w:t>
            </w:r>
          </w:p>
        </w:tc>
        <w:tc>
          <w:tcPr>
            <w:tcW w:type="dxa" w:w="2891"/>
          </w:tcPr>
          <w:p>
            <w:pPr>
              <w:spacing w:before="0" w:after="20"/>
              <w:jc w:val="left"/>
            </w:pPr>
            <w:r>
              <w:rPr>
                <w:b w:val="0"/>
                <w:i w:val="0"/>
                <w:color w:val="375A30"/>
                <w:sz w:val="16"/>
              </w:rPr>
              <w:t>Introduzir, na informação escrita obrigatória a fornecer ao adquirente, os seguintes elementos:</w:t>
              <w:br/>
              <w:t>(i) quaisquer condições médicas ou predisposições a doenças, incluindo alergias, conhecidas pelo operador;</w:t>
              <w:br/>
              <w:t>(ii) quaisquer resultados de testes de diagnóstico para o cão ou gato que estejam disponíveis para o operador;</w:t>
              <w:br/>
              <w:t>(iii) obrigação de transmissão ao adquirente do documento exigido pelo Reg. (UE) 2016/429, caso o historial de saúde nele conste.</w:t>
            </w:r>
          </w:p>
        </w:tc>
        <w:tc>
          <w:tcPr>
            <w:tcW w:type="dxa" w:w="3458"/>
          </w:tcPr>
          <w:p>
            <w:pPr>
              <w:spacing w:before="0" w:after="20"/>
              <w:jc w:val="left"/>
            </w:pPr>
            <w:r>
              <w:rPr>
                <w:b w:val="0"/>
                <w:i w:val="0"/>
                <w:color w:val="84360C"/>
                <w:sz w:val="16"/>
              </w:rPr>
              <w:t>Introduzir, na informação escrita obrigatória a fornecer ao adquirente, os seguintes elementos:</w:t>
              <w:br/>
              <w:t>(i) quaisquer condições médicas ou predisposições a doenças, incluindo alergias, conhecidas pelo operador;</w:t>
              <w:br/>
              <w:t>(ii) quaisquer resultados de testes de diagnóstico para o cão ou gato que estejam disponíveis para o operador;</w:t>
              <w:br/>
              <w:t>(iii) obrigação de transmissão ao adquirente do documento exigido pelo Reg. (UE) 2016/429, caso o historial de saúde nele conste.</w:t>
            </w:r>
          </w:p>
        </w:tc>
      </w:tr>
    </w:tbl>
    <w:p>
      <w:pPr>
        <w:spacing w:before="160"/>
      </w:pPr>
      <w:r>
        <w:rPr>
          <w:i/>
          <w:color w:val="808080"/>
          <w:sz w:val="14"/>
        </w:rPr>
        <w:t>Fonte: comparativo_reuniao_exemplo.docx (ART-11). Diplomas analisados: @regulamento (Reg. (UE) 2023/0447, Art.º 11.º), @codigo (DL 214/2013, Art.º 57.º), @rgbeac (proposta jun. 2025, Art.º 8.º). @legislacao: sem equivalência identificada na legislação vigente.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