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Comparativo norma a norma — Art.º 21.º do Regulamento (UE) 2023/0447</w:t>
      </w:r>
    </w:p>
    <w:p>
      <w:pPr>
        <w:spacing w:after="40"/>
        <w:jc w:val="center"/>
      </w:pPr>
      <w:r>
        <w:rPr>
          <w:b/>
          <w:sz w:val="20"/>
        </w:rPr>
        <w:t>Requisitos de Publicidade em Linha e Colocação no Mercado</w:t>
      </w:r>
    </w:p>
    <w:p>
      <w:pPr>
        <w:spacing w:after="160"/>
        <w:jc w:val="center"/>
      </w:pPr>
      <w:r>
        <w:rPr>
          <w:i/>
          <w:sz w:val="15"/>
        </w:rPr>
        <w:t>@rgbeac: arts.º 91.º-95.º (proposta, jun. 2025)  ·  @codigo: arts.º 24.º, 62.º e 80.º (DL 214/2013)  ·  @legislacao: art.º 53.º (DL 276/2001) + DL 82/2019  ·  19/03/2026</w:t>
      </w:r>
    </w:p>
    <w:tbl>
      <w:tblPr>
        <w:tblStyle w:val="TableGrid"/>
        <w:tblW w:type="auto" w:w="0"/>
        <w:tblLook w:firstColumn="1" w:firstRow="1" w:lastColumn="0" w:lastRow="0" w:noHBand="0" w:noVBand="1" w:val="04A0"/>
      </w:tblPr>
      <w:tblGrid>
        <w:gridCol w:w="2436"/>
        <w:gridCol w:w="2436"/>
        <w:gridCol w:w="2436"/>
        <w:gridCol w:w="2436"/>
      </w:tblGrid>
      <w:tr>
        <w:tc>
          <w:tcPr>
            <w:tcW w:type="dxa" w:w="1417"/>
          </w:tcPr>
          <w:p>
            <w:pPr>
              <w:spacing w:before="0" w:after="20"/>
              <w:jc w:val="left"/>
            </w:pPr>
            <w:r>
              <w:rPr>
                <w:b/>
                <w:sz w:val="16"/>
              </w:rPr>
              <w:t>Referência</w:t>
              <w:br/>
              <w:t>(@regulamento)</w:t>
            </w:r>
          </w:p>
        </w:tc>
        <w:tc>
          <w:tcPr>
            <w:tcW w:type="dxa" w:w="3118"/>
          </w:tcPr>
          <w:p>
            <w:pPr>
              <w:spacing w:before="0" w:after="20"/>
              <w:jc w:val="left"/>
            </w:pPr>
            <w:r>
              <w:rPr>
                <w:b/>
                <w:sz w:val="16"/>
              </w:rPr>
              <w:t>@regulamento (UE) 2023/0447</w:t>
              <w:br/>
              <w:t>texto EN verbatim</w:t>
            </w:r>
          </w:p>
        </w:tc>
        <w:tc>
          <w:tcPr>
            <w:tcW w:type="dxa" w:w="2438"/>
          </w:tcPr>
          <w:p>
            <w:pPr>
              <w:spacing w:before="0" w:after="20"/>
              <w:jc w:val="left"/>
            </w:pPr>
            <w:r>
              <w:rPr>
                <w:b/>
                <w:sz w:val="16"/>
              </w:rPr>
              <w:t>@rgbeac</w:t>
              <w:br/>
              <w:t>(proposta, jun. 2025)</w:t>
            </w:r>
          </w:p>
        </w:tc>
        <w:tc>
          <w:tcPr>
            <w:tcW w:type="dxa" w:w="2438"/>
          </w:tcPr>
          <w:p>
            <w:pPr>
              <w:spacing w:before="0" w:after="20"/>
              <w:jc w:val="left"/>
            </w:pPr>
            <w:r>
              <w:rPr>
                <w:b/>
                <w:sz w:val="16"/>
              </w:rPr>
              <w:t>@codigo</w:t>
              <w:br/>
              <w:t>(DL n.º 214/2013)</w:t>
            </w:r>
          </w:p>
        </w:tc>
      </w:tr>
      <w:tr>
        <w:tc>
          <w:tcPr>
            <w:tcW w:type="dxa" w:w="1417"/>
          </w:tcPr>
          <w:p>
            <w:pPr>
              <w:spacing w:before="0" w:after="20"/>
              <w:jc w:val="left"/>
            </w:pPr>
            <w:r>
              <w:rPr>
                <w:b/>
                <w:sz w:val="16"/>
              </w:rPr>
              <w:t>n.º 1 do art.º 21.º</w:t>
            </w:r>
          </w:p>
        </w:tc>
        <w:tc>
          <w:tcPr>
            <w:tcW w:type="dxa" w:w="3118"/>
          </w:tcPr>
          <w:p>
            <w:pPr>
              <w:spacing w:before="0" w:after="20"/>
              <w:jc w:val="left"/>
            </w:pPr>
            <w:r>
              <w:rPr>
                <w:sz w:val="16"/>
              </w:rPr>
              <w:t>"When operators advertise a dog or a cat online with a view to placing it on the Union market, they shall ensure that the following warning is included in the advertisement in clearly visible and bold characters:</w:t>
              <w:br/>
              <w:t>'An animal is not a toy. Getting one is a life-changing decision. It is your duty to ensure the animal's health and welfare and not to abandon it.'"</w:t>
            </w:r>
          </w:p>
        </w:tc>
        <w:tc>
          <w:tcPr>
            <w:tcW w:type="dxa" w:w="2438"/>
          </w:tcPr>
          <w:p>
            <w:pPr>
              <w:spacing w:before="0" w:after="20"/>
              <w:jc w:val="left"/>
            </w:pPr>
            <w:r>
              <w:rPr>
                <w:sz w:val="16"/>
              </w:rPr>
              <w:t>sem correspondência expressa</w:t>
              <w:br/>
              <w:t>(art.º 92.º prevê requisitos de validade dos anúncios de transmissão, mas não impõe o aviso com o texto específico do @regulamento)</w:t>
            </w:r>
          </w:p>
        </w:tc>
        <w:tc>
          <w:tcPr>
            <w:tcW w:type="dxa" w:w="2438"/>
          </w:tcPr>
          <w:p>
            <w:pPr>
              <w:spacing w:before="0" w:after="20"/>
              <w:jc w:val="left"/>
            </w:pPr>
            <w:r>
              <w:rPr>
                <w:sz w:val="16"/>
              </w:rPr>
              <w:t>sem correspondência</w:t>
              <w:br/>
              <w:t>(art.º 80.º regula comércio; sem aviso obrigatório com texto específico de detenção responsável)</w:t>
            </w:r>
          </w:p>
        </w:tc>
      </w:tr>
      <w:tr>
        <w:tc>
          <w:tcPr>
            <w:tcW w:type="dxa" w:w="1417"/>
          </w:tcPr>
          <w:p>
            <w:pPr>
              <w:spacing w:before="0" w:after="20"/>
              <w:jc w:val="left"/>
            </w:pPr>
            <w:r>
              <w:rPr>
                <w:b/>
                <w:sz w:val="16"/>
              </w:rPr>
              <w:t>n.º 2 do art.º 21.º</w:t>
            </w:r>
          </w:p>
        </w:tc>
        <w:tc>
          <w:tcPr>
            <w:tcW w:type="dxa" w:w="3118"/>
          </w:tcPr>
          <w:p>
            <w:pPr>
              <w:spacing w:before="0" w:after="20"/>
              <w:jc w:val="left"/>
            </w:pPr>
            <w:r>
              <w:rPr>
                <w:sz w:val="16"/>
              </w:rPr>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tc>
        <w:tc>
          <w:tcPr>
            <w:tcW w:type="dxa" w:w="2438"/>
          </w:tcPr>
          <w:p>
            <w:pPr>
              <w:spacing w:before="0" w:after="20"/>
              <w:jc w:val="left"/>
            </w:pPr>
            <w:r>
              <w:rPr>
                <w:sz w:val="16"/>
              </w:rPr>
              <w:t>sem correspondência</w:t>
              <w:br/>
              <w:t>(sem extensão expressa dos requisitos de anúncio a particulares)</w:t>
            </w:r>
          </w:p>
        </w:tc>
        <w:tc>
          <w:tcPr>
            <w:tcW w:type="dxa" w:w="2438"/>
          </w:tcPr>
          <w:p>
            <w:pPr>
              <w:spacing w:before="0" w:after="20"/>
              <w:jc w:val="left"/>
            </w:pPr>
            <w:r>
              <w:rPr>
                <w:sz w:val="16"/>
              </w:rPr>
              <w:t>sem correspondência</w:t>
              <w:br/>
              <w:t>(sem disposição sobre anúncios por particulares)</w:t>
            </w:r>
          </w:p>
        </w:tc>
      </w:tr>
      <w:tr>
        <w:tc>
          <w:tcPr>
            <w:tcW w:type="dxa" w:w="1417"/>
          </w:tcPr>
          <w:p>
            <w:pPr>
              <w:spacing w:before="0" w:after="20"/>
              <w:jc w:val="left"/>
            </w:pPr>
            <w:r>
              <w:rPr>
                <w:b/>
                <w:sz w:val="16"/>
              </w:rPr>
              <w:t>al. a), do n.º 3,</w:t>
              <w:br/>
              <w:t>do art.º 21.º</w:t>
            </w:r>
          </w:p>
        </w:tc>
        <w:tc>
          <w:tcPr>
            <w:tcW w:type="dxa" w:w="3118"/>
          </w:tcPr>
          <w:p>
            <w:pPr>
              <w:spacing w:before="0" w:after="20"/>
              <w:jc w:val="left"/>
            </w:pPr>
            <w:r>
              <w:rPr>
                <w:sz w:val="16"/>
              </w:rPr>
              <w:t>"proof of the identification and registration of the dog or cat in compliance with Article 20"</w:t>
            </w:r>
          </w:p>
        </w:tc>
        <w:tc>
          <w:tcPr>
            <w:tcW w:type="dxa" w:w="2438"/>
          </w:tcPr>
          <w:p>
            <w:pPr>
              <w:spacing w:before="0" w:after="20"/>
              <w:jc w:val="left"/>
            </w:pPr>
            <w:r>
              <w:rPr>
                <w:sz w:val="16"/>
              </w:rPr>
              <w:t>"O contrato de compra e venda deve integrar informação relativamente... a todo o historial clínico do animal, incluindo rastreios genéticos e despistes de doenças realizados"</w:t>
              <w:br/>
              <w:t>[n.º 3 do art.º 91.º do RGBEAC]</w:t>
              <w:br/>
              <w:t>[correspondência parcial — historial clínico previsto; prova formal de identificação/registo não prevista como documento autónomo]</w:t>
            </w:r>
          </w:p>
        </w:tc>
        <w:tc>
          <w:tcPr>
            <w:tcW w:type="dxa" w:w="2438"/>
          </w:tcPr>
          <w:p>
            <w:pPr>
              <w:spacing w:before="0" w:after="20"/>
              <w:jc w:val="left"/>
            </w:pPr>
            <w:r>
              <w:rPr>
                <w:sz w:val="16"/>
              </w:rPr>
              <w:t>"os documentos referidos nas alíneas anteriores são entregues ao comprador": boletim sanitário/passaporte com identificação eletrónica e documento de registo em nome do criador</w:t>
              <w:br/>
              <w:t>[n.ºs 5-6 do art.º 80.º do DL 214/2013]</w:t>
              <w:br/>
              <w:t>[correspondência direta — documento de registo entregue ao comprador]</w:t>
            </w:r>
          </w:p>
        </w:tc>
      </w:tr>
      <w:tr>
        <w:tc>
          <w:tcPr>
            <w:tcW w:type="dxa" w:w="1417"/>
          </w:tcPr>
          <w:p>
            <w:pPr>
              <w:spacing w:before="0" w:after="20"/>
              <w:jc w:val="left"/>
            </w:pPr>
            <w:r>
              <w:rPr>
                <w:b/>
                <w:sz w:val="16"/>
              </w:rPr>
              <w:t>al. b), do n.º 3,</w:t>
              <w:br/>
              <w:t>do art.º 21.º</w:t>
              <w:br/>
              <w:t>[introdução]</w:t>
            </w:r>
          </w:p>
        </w:tc>
        <w:tc>
          <w:tcPr>
            <w:tcW w:type="dxa" w:w="3118"/>
          </w:tcPr>
          <w:p>
            <w:pPr>
              <w:spacing w:before="0" w:after="20"/>
              <w:jc w:val="left"/>
            </w:pPr>
            <w:r>
              <w:rPr>
                <w:b/>
                <w:i/>
                <w:sz w:val="16"/>
              </w:rPr>
              <w:t>the following information on the dog or cat:</w:t>
            </w:r>
          </w:p>
        </w:tc>
        <w:tc>
          <w:tcPr>
            <w:tcW w:type="dxa" w:w="2438"/>
          </w:tcPr>
          <w:p>
            <w:pPr>
              <w:spacing w:before="0" w:after="20"/>
              <w:jc w:val="left"/>
            </w:pPr>
            <w:r>
              <w:rPr>
                <w:b/>
                <w:i/>
                <w:sz w:val="16"/>
              </w:rPr>
              <w:t>[v. subalíneas infra]</w:t>
            </w:r>
          </w:p>
        </w:tc>
        <w:tc>
          <w:tcPr>
            <w:tcW w:type="dxa" w:w="2438"/>
          </w:tcPr>
          <w:p>
            <w:pPr>
              <w:spacing w:before="0" w:after="20"/>
              <w:jc w:val="left"/>
            </w:pPr>
            <w:r>
              <w:rPr>
                <w:b/>
                <w:i/>
                <w:sz w:val="16"/>
              </w:rPr>
              <w:t>[v. subalíneas infra]</w:t>
            </w:r>
          </w:p>
        </w:tc>
      </w:tr>
      <w:tr>
        <w:tc>
          <w:tcPr>
            <w:tcW w:type="dxa" w:w="1417"/>
          </w:tcPr>
          <w:p>
            <w:pPr>
              <w:spacing w:before="0" w:after="20"/>
              <w:jc w:val="left"/>
            </w:pPr>
            <w:r>
              <w:rPr>
                <w:b/>
                <w:sz w:val="16"/>
              </w:rPr>
              <w:t>al. b) (i), do n.º 3,</w:t>
              <w:br/>
              <w:t>do art.º 21.º</w:t>
            </w:r>
          </w:p>
        </w:tc>
        <w:tc>
          <w:tcPr>
            <w:tcW w:type="dxa" w:w="3118"/>
          </w:tcPr>
          <w:p>
            <w:pPr>
              <w:spacing w:before="0" w:after="20"/>
              <w:jc w:val="left"/>
            </w:pPr>
            <w:r>
              <w:rPr>
                <w:sz w:val="16"/>
              </w:rPr>
              <w:t>"its species"</w:t>
            </w:r>
          </w:p>
        </w:tc>
        <w:tc>
          <w:tcPr>
            <w:tcW w:type="dxa" w:w="2438"/>
          </w:tcPr>
          <w:p>
            <w:pPr>
              <w:spacing w:before="0" w:after="20"/>
              <w:jc w:val="left"/>
            </w:pPr>
            <w:r>
              <w:rPr>
                <w:sz w:val="16"/>
              </w:rPr>
              <w:t>sem correspondência expressa</w:t>
            </w:r>
          </w:p>
        </w:tc>
        <w:tc>
          <w:tcPr>
            <w:tcW w:type="dxa" w:w="2438"/>
          </w:tcPr>
          <w:p>
            <w:pPr>
              <w:spacing w:before="0" w:after="20"/>
              <w:jc w:val="left"/>
            </w:pPr>
            <w:r>
              <w:rPr>
                <w:sz w:val="16"/>
              </w:rPr>
              <w:t>sem correspondência expressa</w:t>
            </w:r>
          </w:p>
        </w:tc>
      </w:tr>
      <w:tr>
        <w:tc>
          <w:tcPr>
            <w:tcW w:type="dxa" w:w="1417"/>
          </w:tcPr>
          <w:p>
            <w:pPr>
              <w:spacing w:before="0" w:after="20"/>
              <w:jc w:val="left"/>
            </w:pPr>
            <w:r>
              <w:rPr>
                <w:b/>
                <w:sz w:val="16"/>
              </w:rPr>
              <w:t>al. b) (ii), do n.º 3,</w:t>
              <w:br/>
              <w:t>do art.º 21.º</w:t>
            </w:r>
          </w:p>
        </w:tc>
        <w:tc>
          <w:tcPr>
            <w:tcW w:type="dxa" w:w="3118"/>
          </w:tcPr>
          <w:p>
            <w:pPr>
              <w:spacing w:before="0" w:after="20"/>
              <w:jc w:val="left"/>
            </w:pPr>
            <w:r>
              <w:rPr>
                <w:sz w:val="16"/>
              </w:rPr>
              <w:t>"its sex"</w:t>
            </w:r>
          </w:p>
        </w:tc>
        <w:tc>
          <w:tcPr>
            <w:tcW w:type="dxa" w:w="2438"/>
          </w:tcPr>
          <w:p>
            <w:pPr>
              <w:spacing w:before="0" w:after="20"/>
              <w:jc w:val="left"/>
            </w:pPr>
            <w:r>
              <w:rPr>
                <w:sz w:val="16"/>
              </w:rPr>
              <w:t>sem correspondência expressa</w:t>
            </w:r>
          </w:p>
        </w:tc>
        <w:tc>
          <w:tcPr>
            <w:tcW w:type="dxa" w:w="2438"/>
          </w:tcPr>
          <w:p>
            <w:pPr>
              <w:spacing w:before="0" w:after="20"/>
              <w:jc w:val="left"/>
            </w:pPr>
            <w:r>
              <w:rPr>
                <w:sz w:val="16"/>
              </w:rPr>
              <w:t>sem correspondência expressa</w:t>
            </w:r>
          </w:p>
        </w:tc>
      </w:tr>
      <w:tr>
        <w:tc>
          <w:tcPr>
            <w:tcW w:type="dxa" w:w="1417"/>
          </w:tcPr>
          <w:p>
            <w:pPr>
              <w:spacing w:before="0" w:after="20"/>
              <w:jc w:val="left"/>
            </w:pPr>
            <w:r>
              <w:rPr>
                <w:b/>
                <w:sz w:val="16"/>
              </w:rPr>
              <w:t>al. b) (iii), do n.º 3,</w:t>
              <w:br/>
              <w:t>do art.º 21.º</w:t>
            </w:r>
          </w:p>
        </w:tc>
        <w:tc>
          <w:tcPr>
            <w:tcW w:type="dxa" w:w="3118"/>
          </w:tcPr>
          <w:p>
            <w:pPr>
              <w:spacing w:before="0" w:after="20"/>
              <w:jc w:val="left"/>
            </w:pPr>
            <w:r>
              <w:rPr>
                <w:sz w:val="16"/>
              </w:rPr>
              <w:t>"its date and country of birth"</w:t>
            </w:r>
          </w:p>
        </w:tc>
        <w:tc>
          <w:tcPr>
            <w:tcW w:type="dxa" w:w="2438"/>
          </w:tcPr>
          <w:p>
            <w:pPr>
              <w:spacing w:before="0" w:after="20"/>
              <w:jc w:val="left"/>
            </w:pPr>
            <w:r>
              <w:rPr>
                <w:sz w:val="16"/>
              </w:rPr>
              <w:t>sem correspondência expressa</w:t>
            </w:r>
          </w:p>
        </w:tc>
        <w:tc>
          <w:tcPr>
            <w:tcW w:type="dxa" w:w="2438"/>
          </w:tcPr>
          <w:p>
            <w:pPr>
              <w:spacing w:before="0" w:after="20"/>
              <w:jc w:val="left"/>
            </w:pPr>
            <w:r>
              <w:rPr>
                <w:sz w:val="16"/>
              </w:rPr>
              <w:t>"A idade dos animais"</w:t>
              <w:br/>
              <w:t>[al. a) do n.º 1 do art.º 53.º do DL 276/2001]</w:t>
              <w:br/>
              <w:t>[correspondência parcial — idade referida; data e país de nascimento não exigidos]</w:t>
            </w:r>
          </w:p>
        </w:tc>
      </w:tr>
      <w:tr>
        <w:tc>
          <w:tcPr>
            <w:tcW w:type="dxa" w:w="1417"/>
          </w:tcPr>
          <w:p>
            <w:pPr>
              <w:spacing w:before="0" w:after="20"/>
              <w:jc w:val="left"/>
            </w:pPr>
            <w:r>
              <w:rPr>
                <w:b/>
                <w:sz w:val="16"/>
              </w:rPr>
              <w:t>al. b) (iv), do n.º 3,</w:t>
              <w:br/>
              <w:t>do art.º 21.º</w:t>
            </w:r>
          </w:p>
        </w:tc>
        <w:tc>
          <w:tcPr>
            <w:tcW w:type="dxa" w:w="3118"/>
          </w:tcPr>
          <w:p>
            <w:pPr>
              <w:spacing w:before="0" w:after="20"/>
              <w:jc w:val="left"/>
            </w:pPr>
            <w:r>
              <w:rPr>
                <w:sz w:val="16"/>
              </w:rPr>
              <w:t>"where relevant, its breed"</w:t>
            </w:r>
          </w:p>
        </w:tc>
        <w:tc>
          <w:tcPr>
            <w:tcW w:type="dxa" w:w="2438"/>
          </w:tcPr>
          <w:p>
            <w:pPr>
              <w:spacing w:before="0" w:after="20"/>
              <w:jc w:val="left"/>
            </w:pPr>
            <w:r>
              <w:rPr>
                <w:sz w:val="16"/>
              </w:rPr>
              <w:t>sem correspondência expressa</w:t>
            </w:r>
          </w:p>
        </w:tc>
        <w:tc>
          <w:tcPr>
            <w:tcW w:type="dxa" w:w="2438"/>
          </w:tcPr>
          <w:p>
            <w:pPr>
              <w:spacing w:before="0" w:after="20"/>
              <w:jc w:val="left"/>
            </w:pPr>
            <w:r>
              <w:rPr>
                <w:sz w:val="16"/>
              </w:rPr>
              <w:t>"a indicação se é animal de raça pura ou indeterminada... deve obrigatoriamente ser referido o número de registo no livro de origens português"</w:t>
              <w:br/>
              <w:t>[al. b) do n.º 1 do art.º 53.º do DL 276/2001]</w:t>
              <w:br/>
              <w:t>[correspondência parcial — raça prevista; mais restrita para raça pura]</w:t>
            </w:r>
          </w:p>
        </w:tc>
      </w:tr>
      <w:tr>
        <w:tc>
          <w:tcPr>
            <w:tcW w:type="dxa" w:w="1417"/>
          </w:tcPr>
          <w:p>
            <w:pPr>
              <w:spacing w:before="0" w:after="20"/>
              <w:jc w:val="left"/>
            </w:pPr>
            <w:r>
              <w:rPr>
                <w:b/>
                <w:sz w:val="16"/>
              </w:rPr>
              <w:t>N.º 3 do art.º 21.º</w:t>
              <w:br/>
              <w:t>[token único de</w:t>
              <w:br/>
              <w:t>verificação]</w:t>
            </w:r>
          </w:p>
        </w:tc>
        <w:tc>
          <w:tcPr>
            <w:tcW w:type="dxa" w:w="3118"/>
          </w:tcPr>
          <w:p>
            <w:pPr>
              <w:spacing w:before="0" w:after="20"/>
              <w:jc w:val="left"/>
            </w:pPr>
            <w:r>
              <w:rPr>
                <w:sz w:val="16"/>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br/>
              <w:t>The system shall enable acquirers to verify the authenticity of the identification, registration and ownership of dogs or cats advertised online."</w:t>
            </w:r>
          </w:p>
        </w:tc>
        <w:tc>
          <w:tcPr>
            <w:tcW w:type="dxa" w:w="2438"/>
          </w:tcPr>
          <w:p>
            <w:pPr>
              <w:spacing w:before="0" w:after="20"/>
              <w:jc w:val="left"/>
            </w:pPr>
            <w:r>
              <w:rPr>
                <w:sz w:val="16"/>
              </w:rPr>
              <w:t>sem correspondência</w:t>
              <w:br/>
              <w:t>(falta a implementação do sistema de verificação online com token único — lacuna identificada nas notas de divergência do comparativo_reuniao_exemplo.docx)</w:t>
            </w:r>
          </w:p>
        </w:tc>
        <w:tc>
          <w:tcPr>
            <w:tcW w:type="dxa" w:w="2438"/>
          </w:tcPr>
          <w:p>
            <w:pPr>
              <w:spacing w:before="0" w:after="20"/>
              <w:jc w:val="left"/>
            </w:pPr>
            <w:r>
              <w:rPr>
                <w:sz w:val="16"/>
              </w:rPr>
              <w:t>sem correspondência</w:t>
              <w:br/>
              <w:t>(falta a implementação do sistema de verificação online com token único)</w:t>
            </w:r>
          </w:p>
        </w:tc>
      </w:tr>
      <w:tr>
        <w:tc>
          <w:tcPr>
            <w:tcW w:type="dxa" w:w="1417"/>
          </w:tcPr>
          <w:p>
            <w:pPr>
              <w:spacing w:before="0" w:after="20"/>
              <w:jc w:val="left"/>
            </w:pPr>
            <w:r>
              <w:rPr>
                <w:b/>
                <w:sz w:val="16"/>
              </w:rPr>
              <w:t>n.º 4 do art.º 21.º</w:t>
            </w:r>
          </w:p>
        </w:tc>
        <w:tc>
          <w:tcPr>
            <w:tcW w:type="dxa" w:w="3118"/>
          </w:tcPr>
          <w:p>
            <w:pPr>
              <w:spacing w:before="0" w:after="20"/>
              <w:jc w:val="left"/>
            </w:pPr>
            <w:r>
              <w:rPr>
                <w:sz w:val="16"/>
              </w:rPr>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br/>
              <w:t>[Apenas a pessoa que coloca o animal no mercado é responsável pela exatidão das informações; sem obrigação geral de monitorização para a plataforma (art.º 8.º do Reg. (UE) 2022/2065)]"</w:t>
            </w:r>
          </w:p>
        </w:tc>
        <w:tc>
          <w:tcPr>
            <w:tcW w:type="dxa" w:w="2438"/>
          </w:tcPr>
          <w:p>
            <w:pPr>
              <w:spacing w:before="0" w:after="20"/>
              <w:jc w:val="left"/>
            </w:pPr>
            <w:r>
              <w:rPr>
                <w:sz w:val="16"/>
              </w:rPr>
              <w:t>sem correspondência</w:t>
              <w:br/>
              <w:t>(sem disposição sobre obrigações de plataformas online)</w:t>
            </w:r>
          </w:p>
        </w:tc>
        <w:tc>
          <w:tcPr>
            <w:tcW w:type="dxa" w:w="2438"/>
          </w:tcPr>
          <w:p>
            <w:pPr>
              <w:spacing w:before="0" w:after="20"/>
              <w:jc w:val="left"/>
            </w:pPr>
            <w:r>
              <w:rPr>
                <w:sz w:val="16"/>
              </w:rPr>
              <w:t>sem correspondência</w:t>
              <w:br/>
              <w:t>(sem disposição sobre obrigações de plataformas online)</w:t>
            </w:r>
          </w:p>
        </w:tc>
      </w:tr>
      <w:tr>
        <w:tc>
          <w:tcPr>
            <w:tcW w:type="dxa" w:w="1417"/>
          </w:tcPr>
          <w:p>
            <w:pPr>
              <w:spacing w:before="0" w:after="20"/>
              <w:jc w:val="left"/>
            </w:pPr>
            <w:r>
              <w:rPr>
                <w:b/>
                <w:sz w:val="16"/>
              </w:rPr>
              <w:t>n.º 5 do art.º 21.º</w:t>
              <w:br/>
              <w:t>[sistema da Comissão]</w:t>
            </w:r>
          </w:p>
        </w:tc>
        <w:tc>
          <w:tcPr>
            <w:tcW w:type="dxa" w:w="3118"/>
          </w:tcPr>
          <w:p>
            <w:pPr>
              <w:spacing w:before="0" w:after="20"/>
              <w:jc w:val="left"/>
            </w:pPr>
            <w:r>
              <w:rPr>
                <w:sz w:val="16"/>
              </w:rPr>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w:t>
              <w:br/>
              <w:t>The system shall ensure: (a) reliable verification of authenticity using national databases (Article 23); (b) compliance with data protection (Reg. (EU) 2018/1725 and 2016/679)."</w:t>
            </w:r>
          </w:p>
        </w:tc>
        <w:tc>
          <w:tcPr>
            <w:tcW w:type="dxa" w:w="2438"/>
          </w:tcPr>
          <w:p>
            <w:pPr>
              <w:spacing w:before="0" w:after="20"/>
              <w:jc w:val="left"/>
            </w:pPr>
            <w:r>
              <w:rPr>
                <w:sz w:val="16"/>
              </w:rPr>
              <w:t>sem correspondência</w:t>
              <w:br/>
              <w:t>(disposição de nível europeu — obrigação da Comissão; sem impacto direto na legislação nacional)</w:t>
            </w:r>
          </w:p>
        </w:tc>
        <w:tc>
          <w:tcPr>
            <w:tcW w:type="dxa" w:w="2438"/>
          </w:tcPr>
          <w:p>
            <w:pPr>
              <w:spacing w:before="0" w:after="20"/>
              <w:jc w:val="left"/>
            </w:pPr>
            <w:r>
              <w:rPr>
                <w:sz w:val="16"/>
              </w:rPr>
              <w:t>sem correspondência</w:t>
              <w:br/>
              <w:t>(disposição de nível europeu — obrigação da Comissão; sem impacto direto na legislação nacional)</w:t>
            </w:r>
          </w:p>
        </w:tc>
      </w:tr>
      <w:tr>
        <w:tc>
          <w:tcPr>
            <w:tcW w:type="dxa" w:w="1417"/>
          </w:tcPr>
          <w:p>
            <w:pPr>
              <w:spacing w:before="0" w:after="20"/>
              <w:jc w:val="left"/>
            </w:pPr>
            <w:r>
              <w:rPr>
                <w:b/>
                <w:sz w:val="16"/>
              </w:rPr>
              <w:t>n.º 6 do art.º 21.º</w:t>
              <w:br/>
              <w:t>[atos de execução</w:t>
              <w:br/>
              <w:t>da Comissão]</w:t>
            </w:r>
          </w:p>
        </w:tc>
        <w:tc>
          <w:tcPr>
            <w:tcW w:type="dxa" w:w="3118"/>
          </w:tcPr>
          <w:p>
            <w:pPr>
              <w:spacing w:before="0" w:after="20"/>
              <w:jc w:val="left"/>
            </w:pPr>
            <w:r>
              <w:rPr>
                <w:sz w:val="16"/>
              </w:rPr>
              <w:t>"The Commission shall adopt implementing acts laying down: (a) the information to be provided as proof of identification and registration [2 years after entry into force]; (b) the information to be provided to the verification system for demonstrating authenticity [3 years after entry into force]; (c) the key functions, technical/electronic/cryptographic requirements and procedural steps of the system referred to in paragraph 5."</w:t>
            </w:r>
          </w:p>
        </w:tc>
        <w:tc>
          <w:tcPr>
            <w:tcW w:type="dxa" w:w="2438"/>
          </w:tcPr>
          <w:p>
            <w:pPr>
              <w:spacing w:before="0" w:after="20"/>
              <w:jc w:val="left"/>
            </w:pPr>
            <w:r>
              <w:rPr>
                <w:sz w:val="16"/>
              </w:rPr>
              <w:t>sem correspondência</w:t>
              <w:br/>
              <w:t>(atos de execução a adotar pela Comissão Europeia)</w:t>
            </w:r>
          </w:p>
        </w:tc>
        <w:tc>
          <w:tcPr>
            <w:tcW w:type="dxa" w:w="2438"/>
          </w:tcPr>
          <w:p>
            <w:pPr>
              <w:spacing w:before="0" w:after="20"/>
              <w:jc w:val="left"/>
            </w:pPr>
            <w:r>
              <w:rPr>
                <w:sz w:val="16"/>
              </w:rPr>
              <w:t>sem correspondência</w:t>
              <w:br/>
              <w:t>(atos de execução a adotar pela Comissão Europeia)</w:t>
            </w:r>
          </w:p>
        </w:tc>
      </w:tr>
      <w:tr>
        <w:tc>
          <w:tcPr>
            <w:tcW w:type="dxa" w:w="1417"/>
          </w:tcPr>
          <w:p>
            <w:pPr>
              <w:spacing w:before="0" w:after="20"/>
              <w:jc w:val="left"/>
            </w:pPr>
            <w:r>
              <w:rPr>
                <w:b/>
                <w:sz w:val="16"/>
              </w:rPr>
              <w:t>[Elementos específicos</w:t>
              <w:br/>
              <w:t>por diploma, sem</w:t>
              <w:br/>
              <w:t>paralelo no art.º 21.º]</w:t>
            </w:r>
          </w:p>
        </w:tc>
        <w:tc>
          <w:tcPr>
            <w:tcW w:type="dxa" w:w="3118"/>
          </w:tcPr>
          <w:p>
            <w:pPr>
              <w:spacing w:before="0" w:after="20"/>
              <w:jc w:val="left"/>
            </w:pPr>
            <w:r>
              <w:rPr>
                <w:sz w:val="16"/>
              </w:rPr>
              <w:t>[Não previstos no art.º 21.º do @regulamento]</w:t>
            </w:r>
          </w:p>
        </w:tc>
        <w:tc>
          <w:tcPr>
            <w:tcW w:type="dxa" w:w="2438"/>
          </w:tcPr>
          <w:p>
            <w:pPr>
              <w:spacing w:before="0" w:after="20"/>
              <w:jc w:val="left"/>
            </w:pPr>
            <w:r>
              <w:rPr>
                <w:sz w:val="16"/>
              </w:rPr>
              <w:t>Requisitos adicionais do @rgbeac (art.º 91.º):</w:t>
              <w:br/>
              <w:t>– Venda apenas a maiores de idade plenamente capazes, mediante contrato escrito</w:t>
              <w:br/>
              <w:t>– Verificação da adequação do animal ao comprador</w:t>
              <w:br/>
              <w:t>– Regime de indemnização por doença congénita/viral</w:t>
              <w:br/>
              <w:t>– Autorização de reprodução ou compromisso de esterilização até 6 meses</w:t>
            </w:r>
          </w:p>
        </w:tc>
        <w:tc>
          <w:tcPr>
            <w:tcW w:type="dxa" w:w="2438"/>
          </w:tcPr>
          <w:p>
            <w:pPr>
              <w:spacing w:before="0" w:after="20"/>
              <w:jc w:val="left"/>
            </w:pPr>
            <w:r>
              <w:rPr>
                <w:sz w:val="16"/>
              </w:rPr>
              <w:t>Requisitos adicionais:</w:t>
              <w:br/>
              <w:t>– Número de animais da ninhada [al. e) do n.º 1 do art.º 53.º do DL 276/2001]</w:t>
              <w:br/>
              <w:t>– Número de identificação eletrónica da cria e da fêmea reprodutora [al. c)]</w:t>
              <w:br/>
              <w:t>– Número de inscrição de criador [al. d)]</w:t>
              <w:br/>
              <w:t>– Proibição de venda a menores de 16 anos sem autorização [n.º 4 do art.º 80.º do DL 214/2013]</w:t>
            </w:r>
          </w:p>
        </w:tc>
      </w:tr>
    </w:tbl>
    <w:p>
      <w:pPr>
        <w:spacing w:before="120"/>
      </w:pPr>
      <w:r>
        <w:rPr>
          <w:i/>
          <w:sz w:val="15"/>
        </w:rPr>
        <w:t>Nota: o texto do art.º 92.º do @rgbeac (requisitos de validade do anúncio) surge truncado no comparativo_reuniao_exemplo.docx. Os n.ºs 5 e 6 do art.º 21.º são obrigações de nível europeu (Comissão/atos de execução) sem transposição nacional direta; a lacuna principal de transposição é o sistema de verificação com token único (n.º 3). Necessidade de alteração (todos os diplomas): Sim.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