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Quadro comparativo — Art.º 9.º do Regulamento 2023/0447</w:t>
      </w:r>
    </w:p>
    <w:p>
      <w:pPr>
        <w:jc w:val="center"/>
      </w:pPr>
      <w:r>
        <w:rPr>
          <w:b w:val="0"/>
          <w:sz w:val="22"/>
        </w:rPr>
        <w:t>Notificação e registo dos estabelecimentos</w:t>
      </w:r>
    </w:p>
    <w:p>
      <w:pPr>
        <w:jc w:val="center"/>
      </w:pPr>
      <w:r>
        <w:rPr>
          <w:b w:val="0"/>
          <w:sz w:val="18"/>
        </w:rPr>
        <w:t>@rgbeac × @codigo × @legislacao vigente  |  Análise artigo-a-artigo</w:t>
      </w:r>
    </w:p>
    <w:p>
      <w:pPr>
        <w:jc w:val="center"/>
      </w:pPr>
      <w:r>
        <w:rPr>
          <w:b w:val="0"/>
          <w:sz w:val="18"/>
        </w:rPr>
        <w:t>Data: 19/03/2026</w:t>
      </w:r>
    </w:p>
    <w:p>
      <w:pPr>
        <w:spacing w:before="0" w:after="0"/>
      </w:pPr>
    </w:p>
    <w:p>
      <w:r>
        <w:rPr>
          <w:b/>
          <w:sz w:val="20"/>
        </w:rPr>
        <w:t>1. Âmbito de aplicação e critério de fins lucrativos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1"/>
        <w:gridCol w:w="2491"/>
        <w:gridCol w:w="2491"/>
        <w:gridCol w:w="2491"/>
      </w:tblGrid>
      <w:tr>
        <w:tc>
          <w:tcPr>
            <w:tcW w:type="dxa" w:w="2268"/>
          </w:tcPr>
          <w:p>
            <w:r>
              <w:rPr>
                <w:b/>
                <w:sz w:val="17"/>
              </w:rPr>
              <w:t>Critério</w:t>
            </w:r>
          </w:p>
        </w:tc>
        <w:tc>
          <w:tcPr>
            <w:tcW w:type="dxa" w:w="3023"/>
          </w:tcPr>
          <w:p>
            <w:r>
              <w:rPr>
                <w:b/>
                <w:sz w:val="17"/>
              </w:rPr>
              <w:t>@rgbeac</w:t>
              <w:br/>
              <w:t>(proposta jun. 2025)</w:t>
            </w:r>
          </w:p>
        </w:tc>
        <w:tc>
          <w:tcPr>
            <w:tcW w:type="dxa" w:w="3024"/>
          </w:tcPr>
          <w:p>
            <w:r>
              <w:rPr>
                <w:b/>
                <w:sz w:val="17"/>
              </w:rPr>
              <w:t>@codigo</w:t>
              <w:br/>
              <w:t>(proposta DL n.º 214/2013)</w:t>
            </w:r>
          </w:p>
        </w:tc>
        <w:tc>
          <w:tcPr>
            <w:tcW w:type="dxa" w:w="3024"/>
          </w:tcPr>
          <w:p>
            <w:r>
              <w:rPr>
                <w:b/>
                <w:sz w:val="17"/>
              </w:rPr>
              <w:t>@legislacao</w:t>
              <w:br/>
              <w:t>(vigente)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6"/>
              </w:rPr>
              <w:t>Norma de referência</w:t>
            </w:r>
          </w:p>
        </w:tc>
        <w:tc>
          <w:tcPr>
            <w:tcW w:type="dxa" w:w="3023"/>
          </w:tcPr>
          <w:p>
            <w:r>
              <w:rPr>
                <w:b w:val="0"/>
                <w:sz w:val="16"/>
              </w:rPr>
              <w:t>Art.º 60.º, n.º 1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Art.º 31.º, al. a) e al. b)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Art.º 3.º, n.º 1, al. a) e al. b)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6"/>
              </w:rPr>
              <w:t>Atividades sujeitas — mera comunicação / comunicação com prazo</w:t>
            </w:r>
          </w:p>
        </w:tc>
        <w:tc>
          <w:tcPr>
            <w:tcW w:type="dxa" w:w="3023"/>
          </w:tcPr>
          <w:p>
            <w:r>
              <w:rPr>
                <w:b w:val="0"/>
                <w:sz w:val="16"/>
              </w:rPr>
              <w:t>Alojamentos para hospedagem, incluindo centros de bem-estar animal, exceto os destinados exclusivamente à venda.</w:t>
              <w:br/>
              <w:t>Não distingue fins lucrativos ou sem fins lucrativos.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Centros de recolha e alojamentos para hospedagem, com ou sem fins lucrativos, exceto os destinados exclusivamente à venda.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Centros de recolha, alojamentos para hospedagem, com ou sem fins lucrativos, e criação comercial de animais de companhia, exceto os destinados exclusivamente à venda.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6"/>
              </w:rPr>
              <w:t>Critério "fins lucrativos"</w:t>
            </w:r>
          </w:p>
        </w:tc>
        <w:tc>
          <w:tcPr>
            <w:tcW w:type="dxa" w:w="3023"/>
          </w:tcPr>
          <w:p>
            <w:r>
              <w:rPr>
                <w:b w:val="0"/>
                <w:sz w:val="16"/>
              </w:rPr>
              <w:t>❌ Abandonado — o @rgbeac não utiliza esta distinção.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✅ Presente — distingue "com ou sem fins lucrativos" na al. a) e usa "com fins lucrativos" como condição da permissão administrativa na al. b).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✅ Presente — mesma estrutura do @codigo.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6"/>
              </w:rPr>
              <w:t>Criação comercial de animais de companhia como atividade autónoma</w:t>
            </w:r>
          </w:p>
        </w:tc>
        <w:tc>
          <w:tcPr>
            <w:tcW w:type="dxa" w:w="3023"/>
          </w:tcPr>
          <w:p>
            <w:r>
              <w:rPr>
                <w:b w:val="0"/>
                <w:sz w:val="16"/>
              </w:rPr>
              <w:t>❌ Não prevista expressamente como atividade autónoma.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❌ Não prevista como atividade autónoma no Art.º 31.º.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✅ Incluída expressamente na al. a) do n.º 1 do Art.º 3.º, a par dos alojamentos.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6"/>
              </w:rPr>
              <w:t>Alojamentos para hospedagem com fins lucrativos destinados à reprodução/criação de animais potencialmente perigosos</w:t>
            </w:r>
          </w:p>
        </w:tc>
        <w:tc>
          <w:tcPr>
            <w:tcW w:type="dxa" w:w="3023"/>
          </w:tcPr>
          <w:p>
            <w:r>
              <w:rPr>
                <w:b w:val="0"/>
                <w:sz w:val="16"/>
              </w:rPr>
              <w:t>❌ Não previsto regime especial — comunicação prévia com prazo aplica-se a todos.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✅ Sujeitos a permissão administrativa — al. b) do Art.º 31.º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✅ Sujeitos a permissão administrativa — al. b) do n.º 1 do Art.º 3.º</w:t>
            </w:r>
          </w:p>
        </w:tc>
      </w:tr>
    </w:tbl>
    <w:p>
      <w:pPr>
        <w:spacing w:before="0" w:after="0"/>
      </w:pPr>
    </w:p>
    <w:p>
      <w:r>
        <w:rPr>
          <w:b/>
          <w:sz w:val="20"/>
        </w:rPr>
        <w:t>2. Tipo e natureza do procedimento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1"/>
        <w:gridCol w:w="2491"/>
        <w:gridCol w:w="2491"/>
        <w:gridCol w:w="2491"/>
      </w:tblGrid>
      <w:tr>
        <w:tc>
          <w:tcPr>
            <w:tcW w:type="dxa" w:w="2268"/>
          </w:tcPr>
          <w:p>
            <w:r>
              <w:rPr>
                <w:b/>
                <w:sz w:val="17"/>
              </w:rPr>
              <w:t>Critério</w:t>
            </w:r>
          </w:p>
        </w:tc>
        <w:tc>
          <w:tcPr>
            <w:tcW w:type="dxa" w:w="3023"/>
          </w:tcPr>
          <w:p>
            <w:r>
              <w:rPr>
                <w:b/>
                <w:sz w:val="17"/>
              </w:rPr>
              <w:t>@rgbeac</w:t>
              <w:br/>
              <w:t>(proposta jun. 2025)</w:t>
            </w:r>
          </w:p>
        </w:tc>
        <w:tc>
          <w:tcPr>
            <w:tcW w:type="dxa" w:w="3024"/>
          </w:tcPr>
          <w:p>
            <w:r>
              <w:rPr>
                <w:b/>
                <w:sz w:val="17"/>
              </w:rPr>
              <w:t>@codigo</w:t>
              <w:br/>
              <w:t>(proposta DL n.º 214/2013)</w:t>
            </w:r>
          </w:p>
        </w:tc>
        <w:tc>
          <w:tcPr>
            <w:tcW w:type="dxa" w:w="3024"/>
          </w:tcPr>
          <w:p>
            <w:r>
              <w:rPr>
                <w:b/>
                <w:sz w:val="17"/>
              </w:rPr>
              <w:t>@legislacao</w:t>
              <w:br/>
              <w:t>(vigente)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6"/>
              </w:rPr>
              <w:t>Designação do procedimento</w:t>
            </w:r>
          </w:p>
        </w:tc>
        <w:tc>
          <w:tcPr>
            <w:tcW w:type="dxa" w:w="3023"/>
          </w:tcPr>
          <w:p>
            <w:r>
              <w:rPr>
                <w:b w:val="0"/>
                <w:sz w:val="16"/>
              </w:rPr>
              <w:t>"Comunicação prévia com prazo"</w:t>
              <w:br/>
              <w:t>(Art.º 60.º, n.º 1)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"Mera comunicação prévia"</w:t>
              <w:br/>
              <w:t>(Art.º 31.º, al. a))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"Mera comunicação prévia"</w:t>
              <w:br/>
              <w:t>(Art.º 3.º, n.º 1, al. a))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6"/>
              </w:rPr>
              <w:t>Momento de produção de efeitos</w:t>
            </w:r>
          </w:p>
        </w:tc>
        <w:tc>
          <w:tcPr>
            <w:tcW w:type="dxa" w:w="3023"/>
          </w:tcPr>
          <w:p>
            <w:r>
              <w:rPr>
                <w:b w:val="0"/>
                <w:sz w:val="16"/>
              </w:rPr>
              <w:t>30 dias após o registo no balcão único eletrónico</w:t>
              <w:br/>
              <w:t>(Art.º 60.º, n.º 5)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Imediata — mera comunicação prévia produz efeitos no momento do registo.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Imediata — idem.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6"/>
              </w:rPr>
              <w:t>Poder de indeferimento da autoridade</w:t>
            </w:r>
          </w:p>
        </w:tc>
        <w:tc>
          <w:tcPr>
            <w:tcW w:type="dxa" w:w="3023"/>
          </w:tcPr>
          <w:p>
            <w:r>
              <w:rPr>
                <w:b w:val="0"/>
                <w:sz w:val="16"/>
              </w:rPr>
              <w:t>✅ DGAV pode emitir ato de indeferimento, total ou parcial, até 30 dias após registo</w:t>
              <w:br/>
              <w:t>(Art.º 60.º, n.º 6)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❌ Não previsto para a mera comunicação prévia.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❌ Não previsto para a mera comunicação prévia.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6"/>
              </w:rPr>
              <w:t>Número de identificação atribuído</w:t>
            </w:r>
          </w:p>
        </w:tc>
        <w:tc>
          <w:tcPr>
            <w:tcW w:type="dxa" w:w="3023"/>
          </w:tcPr>
          <w:p>
            <w:r>
              <w:rPr>
                <w:b w:val="0"/>
                <w:sz w:val="16"/>
              </w:rPr>
              <w:t>"Número de identificação do alojamento" — do estabelecimento</w:t>
              <w:br/>
              <w:t>(Art.º 60.º, n.º 2)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❌ Não previsto número de identificação decorrente da mera comunicação prévia.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"Número de identificação" — pessoal e intransmissível</w:t>
              <w:br/>
              <w:t>(Art.º 3.º, n.º 11)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6"/>
              </w:rPr>
              <w:t>Ressalva de obrigações fiscais</w:t>
            </w:r>
          </w:p>
        </w:tc>
        <w:tc>
          <w:tcPr>
            <w:tcW w:type="dxa" w:w="3023"/>
          </w:tcPr>
          <w:p>
            <w:r>
              <w:rPr>
                <w:b w:val="0"/>
                <w:sz w:val="16"/>
              </w:rPr>
              <w:t>✅ Prevista expressamente</w:t>
              <w:br/>
              <w:t>(Art.º 60.º, n.º 3)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❌ Ausente.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✅ Prevista expressamente</w:t>
              <w:br/>
              <w:t>(Art.º 3.º, n.º 13)</w:t>
            </w:r>
          </w:p>
        </w:tc>
      </w:tr>
    </w:tbl>
    <w:p>
      <w:pPr>
        <w:spacing w:before="0" w:after="0"/>
      </w:pPr>
    </w:p>
    <w:p>
      <w:r>
        <w:rPr>
          <w:b/>
          <w:sz w:val="20"/>
        </w:rPr>
        <w:t>3. Elementos informativos da comunicação — análise alínea a alínea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1"/>
        <w:gridCol w:w="2491"/>
        <w:gridCol w:w="2491"/>
        <w:gridCol w:w="2491"/>
      </w:tblGrid>
      <w:tr>
        <w:tc>
          <w:tcPr>
            <w:tcW w:type="dxa" w:w="2268"/>
          </w:tcPr>
          <w:p>
            <w:r>
              <w:rPr>
                <w:b/>
                <w:sz w:val="17"/>
              </w:rPr>
              <w:t>Critério</w:t>
            </w:r>
          </w:p>
        </w:tc>
        <w:tc>
          <w:tcPr>
            <w:tcW w:type="dxa" w:w="3023"/>
          </w:tcPr>
          <w:p>
            <w:r>
              <w:rPr>
                <w:b/>
                <w:sz w:val="17"/>
              </w:rPr>
              <w:t>@rgbeac</w:t>
              <w:br/>
              <w:t>(proposta jun. 2025)</w:t>
            </w:r>
          </w:p>
        </w:tc>
        <w:tc>
          <w:tcPr>
            <w:tcW w:type="dxa" w:w="3024"/>
          </w:tcPr>
          <w:p>
            <w:r>
              <w:rPr>
                <w:b/>
                <w:sz w:val="17"/>
              </w:rPr>
              <w:t>@codigo</w:t>
              <w:br/>
              <w:t>(proposta DL n.º 214/2013)</w:t>
            </w:r>
          </w:p>
        </w:tc>
        <w:tc>
          <w:tcPr>
            <w:tcW w:type="dxa" w:w="3024"/>
          </w:tcPr>
          <w:p>
            <w:r>
              <w:rPr>
                <w:b/>
                <w:sz w:val="17"/>
              </w:rPr>
              <w:t>@legislacao</w:t>
              <w:br/>
              <w:t>(vigente)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6"/>
              </w:rPr>
              <w:t>a) Nome / denominação social</w:t>
            </w:r>
          </w:p>
        </w:tc>
        <w:tc>
          <w:tcPr>
            <w:tcW w:type="dxa" w:w="3023"/>
          </w:tcPr>
          <w:p>
            <w:r>
              <w:rPr>
                <w:b w:val="0"/>
                <w:sz w:val="16"/>
              </w:rPr>
              <w:t>✅ Art.º 61.º, n.º 1, al. a)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✅ Art.º 33.º, al. a)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✅ Art.º 3.º-A, al. a)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6"/>
              </w:rPr>
              <w:t>b) Localização e designação comercial</w:t>
            </w:r>
          </w:p>
        </w:tc>
        <w:tc>
          <w:tcPr>
            <w:tcW w:type="dxa" w:w="3023"/>
          </w:tcPr>
          <w:p>
            <w:r>
              <w:rPr>
                <w:b w:val="0"/>
                <w:sz w:val="16"/>
              </w:rPr>
              <w:t>✅ Art.º 61.º, n.º 1, al. b)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✅ Art.º 33.º, al. b)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✅ Art.º 3.º-A, al. b)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6"/>
              </w:rPr>
              <w:t>c) NIF / NIPC</w:t>
            </w:r>
          </w:p>
        </w:tc>
        <w:tc>
          <w:tcPr>
            <w:tcW w:type="dxa" w:w="3023"/>
          </w:tcPr>
          <w:p>
            <w:r>
              <w:rPr>
                <w:b w:val="0"/>
                <w:sz w:val="16"/>
              </w:rPr>
              <w:t>✅ Art.º 61.º, n.º 1, al. c)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✅ Art.º 33.º, al. c)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✅ Art.º 3.º-A, al. c)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6"/>
              </w:rPr>
              <w:t>d) Municípios integrantes (centros intermunicipais)</w:t>
            </w:r>
          </w:p>
        </w:tc>
        <w:tc>
          <w:tcPr>
            <w:tcW w:type="dxa" w:w="3023"/>
          </w:tcPr>
          <w:p>
            <w:r>
              <w:rPr>
                <w:b w:val="0"/>
                <w:sz w:val="16"/>
              </w:rPr>
              <w:t>✅ Art.º 61.º, n.º 1, al. d)</w:t>
              <w:br/>
              <w:t>(centros de bem-estar animal intermunicipais)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✅ Art.º 33.º, al. d)</w:t>
              <w:br/>
              <w:t>(centros de recolha intermunicipais)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✅ Art.º 3.º-A, al. d)</w:t>
              <w:br/>
              <w:t>(centros de recolha intermunicipais)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6"/>
              </w:rPr>
              <w:t>e) Caracterização das atividades a exercer</w:t>
            </w:r>
          </w:p>
        </w:tc>
        <w:tc>
          <w:tcPr>
            <w:tcW w:type="dxa" w:w="3023"/>
          </w:tcPr>
          <w:p>
            <w:r>
              <w:rPr>
                <w:b w:val="0"/>
                <w:sz w:val="16"/>
              </w:rPr>
              <w:t>✅ Art.º 61.º, n.º 1, al. e)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✅ Art.º 33.º, al. e)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✅ Art.º 3.º-A, al. e)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6"/>
              </w:rPr>
              <w:t>f) Médico veterinário responsável</w:t>
            </w:r>
          </w:p>
        </w:tc>
        <w:tc>
          <w:tcPr>
            <w:tcW w:type="dxa" w:w="3023"/>
          </w:tcPr>
          <w:p>
            <w:r>
              <w:rPr>
                <w:b w:val="0"/>
                <w:sz w:val="16"/>
              </w:rPr>
              <w:t>✅ Art.º 61.º, n.º 1, al. f)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✅ Art.º 33.º, al. f)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✅ Art.º 3.º-A, al. f)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6"/>
              </w:rPr>
              <w:t>g) Celas de quarentena</w:t>
            </w:r>
          </w:p>
        </w:tc>
        <w:tc>
          <w:tcPr>
            <w:tcW w:type="dxa" w:w="3023"/>
          </w:tcPr>
          <w:p>
            <w:r>
              <w:rPr>
                <w:b w:val="0"/>
                <w:sz w:val="16"/>
              </w:rPr>
              <w:t>✅ Art.º 61.º, n.º 1, al. g)</w:t>
              <w:br/>
              <w:t>(no caso dos centros de bem-estar animal)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✅ Art.º 33.º, al. g)</w:t>
              <w:br/>
              <w:t>(no caso dos centros de recolha)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✅ Art.º 3.º-A, al. g)</w:t>
              <w:br/>
              <w:t>(no caso dos centros de recolha)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6"/>
              </w:rPr>
              <w:t>h) Capacidade máxima de animais e espécies</w:t>
            </w:r>
          </w:p>
        </w:tc>
        <w:tc>
          <w:tcPr>
            <w:tcW w:type="dxa" w:w="3023"/>
          </w:tcPr>
          <w:p>
            <w:r>
              <w:rPr>
                <w:b w:val="0"/>
                <w:sz w:val="16"/>
              </w:rPr>
              <w:t>✅ Art.º 61.º, n.º 1, al. h)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✅ Art.º 33.º, al. h)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✅ Art.º 3.º-A, al. h)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6"/>
              </w:rPr>
              <w:t>i) N.º de animais detidos, espécies e raças</w:t>
            </w:r>
          </w:p>
        </w:tc>
        <w:tc>
          <w:tcPr>
            <w:tcW w:type="dxa" w:w="3023"/>
          </w:tcPr>
          <w:p>
            <w:r>
              <w:rPr>
                <w:b w:val="0"/>
                <w:sz w:val="16"/>
              </w:rPr>
              <w:t>✅ Art.º 61.º, n.º 1, al. i)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✅ Art.º 33.º, al. i)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✅ Art.º 3.º-A, al. i)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6"/>
              </w:rPr>
              <w:t>j) Parecer do MV sobre condições higiossanitárias e de bem-estar</w:t>
            </w:r>
          </w:p>
        </w:tc>
        <w:tc>
          <w:tcPr>
            <w:tcW w:type="dxa" w:w="3023"/>
          </w:tcPr>
          <w:p>
            <w:r>
              <w:rPr>
                <w:b w:val="0"/>
                <w:sz w:val="16"/>
              </w:rPr>
              <w:t>✅ Art.º 61.º, n.º 1, al. j) — EXCLUSIVO do @rgbeac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❌ Ausente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❌ Ausente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6"/>
              </w:rPr>
              <w:t>k/j) Declaração de responsabilidade — fórmula</w:t>
            </w:r>
          </w:p>
        </w:tc>
        <w:tc>
          <w:tcPr>
            <w:tcW w:type="dxa" w:w="3023"/>
          </w:tcPr>
          <w:p>
            <w:r>
              <w:rPr>
                <w:b w:val="0"/>
                <w:sz w:val="16"/>
              </w:rPr>
              <w:t>"cumprimento do presente decreto-lei e demais legislação aplicável aos animais de companhia"</w:t>
              <w:br/>
              <w:t>(Art.º 61.º, n.º 1, al. k))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"cumprimento de toda a legislação aplicável aos animais de companhia, nomeadamente em matéria de instalações, equipamentos, higiene, saúde e bem-estar dos animais"</w:t>
              <w:br/>
              <w:t>(Art.º 33.º, al. j))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"cumprimento da legislação aplicável aos animais de companhia, nomeadamente em matéria de instalações, equipamentos, higiene, saúde e bem-estar dos animais"</w:t>
              <w:br/>
              <w:t>(Art.º 3.º-A, al. j))</w:t>
            </w:r>
          </w:p>
        </w:tc>
      </w:tr>
    </w:tbl>
    <w:p>
      <w:pPr>
        <w:spacing w:before="0" w:after="0"/>
      </w:pPr>
    </w:p>
    <w:p>
      <w:r>
        <w:rPr>
          <w:b/>
          <w:sz w:val="20"/>
        </w:rPr>
        <w:t>4. Verificação do cumprimento dos requisitos e via de comunicação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1"/>
        <w:gridCol w:w="2491"/>
        <w:gridCol w:w="2491"/>
        <w:gridCol w:w="2491"/>
      </w:tblGrid>
      <w:tr>
        <w:tc>
          <w:tcPr>
            <w:tcW w:type="dxa" w:w="2268"/>
          </w:tcPr>
          <w:p>
            <w:r>
              <w:rPr>
                <w:b/>
                <w:sz w:val="17"/>
              </w:rPr>
              <w:t>Critério</w:t>
            </w:r>
          </w:p>
        </w:tc>
        <w:tc>
          <w:tcPr>
            <w:tcW w:type="dxa" w:w="3023"/>
          </w:tcPr>
          <w:p>
            <w:r>
              <w:rPr>
                <w:b/>
                <w:sz w:val="17"/>
              </w:rPr>
              <w:t>@rgbeac</w:t>
              <w:br/>
              <w:t>(proposta jun. 2025)</w:t>
            </w:r>
          </w:p>
        </w:tc>
        <w:tc>
          <w:tcPr>
            <w:tcW w:type="dxa" w:w="3024"/>
          </w:tcPr>
          <w:p>
            <w:r>
              <w:rPr>
                <w:b/>
                <w:sz w:val="17"/>
              </w:rPr>
              <w:t>@codigo</w:t>
              <w:br/>
              <w:t>(proposta DL n.º 214/2013)</w:t>
            </w:r>
          </w:p>
        </w:tc>
        <w:tc>
          <w:tcPr>
            <w:tcW w:type="dxa" w:w="3024"/>
          </w:tcPr>
          <w:p>
            <w:r>
              <w:rPr>
                <w:b/>
                <w:sz w:val="17"/>
              </w:rPr>
              <w:t>@legislacao</w:t>
              <w:br/>
              <w:t>(vigente)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6"/>
              </w:rPr>
              <w:t>Verificação por vistoria após comunicação inicial</w:t>
            </w:r>
          </w:p>
        </w:tc>
        <w:tc>
          <w:tcPr>
            <w:tcW w:type="dxa" w:w="3023"/>
          </w:tcPr>
          <w:p>
            <w:r>
              <w:rPr>
                <w:b w:val="0"/>
                <w:sz w:val="16"/>
              </w:rPr>
              <w:t>✅ Prevista — vistoria pelo ICNF, I.P. (referência ao DGAV) ou entidade mandatada</w:t>
              <w:br/>
              <w:t>(Art.º 61.º, n.º 2)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❌ Não prevista para mera comunicação prévia (só para permissão adm. — Art.º 35.º).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❌ Não prevista para mera comunicação prévia (só para permissão adm. — Art.º 3.º-C).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6"/>
              </w:rPr>
              <w:t>Via eletrónica para a comunicação inicial</w:t>
            </w:r>
          </w:p>
        </w:tc>
        <w:tc>
          <w:tcPr>
            <w:tcW w:type="dxa" w:w="3023"/>
          </w:tcPr>
          <w:p>
            <w:r>
              <w:rPr>
                <w:b w:val="0"/>
                <w:sz w:val="16"/>
              </w:rPr>
              <w:t>✅ Obrigatória — balcão único eletrónico</w:t>
              <w:br/>
              <w:t>(Art.º 61.º, n.º 3)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❌ Não prevista para mera comunicação prévia</w:t>
              <w:br/>
              <w:t>(só para permissão adm. — Art.º 34.º, n.º 3)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❌ Não prevista para mera comunicação prévia</w:t>
              <w:br/>
              <w:t>(só para alterações — Art.º 3.º-F, n.º 1)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6"/>
              </w:rPr>
              <w:t>Fallback em caso de indisponibilidade das plataformas eletrónicas</w:t>
            </w:r>
          </w:p>
        </w:tc>
        <w:tc>
          <w:tcPr>
            <w:tcW w:type="dxa" w:w="3023"/>
          </w:tcPr>
          <w:p>
            <w:r>
              <w:rPr>
                <w:b w:val="0"/>
                <w:sz w:val="16"/>
              </w:rPr>
              <w:t>✅ Previsto — "qualquer outro meio previsto na lei"</w:t>
              <w:br/>
              <w:t>(Art.º 61.º, n.º 4)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❌ Não previsto para a comunicação prévia inicial.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❌ Não previsto para a comunicação prévia inicial</w:t>
              <w:br/>
              <w:t>(só para alterações — Art.º 3.º-F, n.º 4)</w:t>
            </w:r>
          </w:p>
        </w:tc>
      </w:tr>
    </w:tbl>
    <w:p>
      <w:pPr>
        <w:spacing w:before="0" w:after="0"/>
      </w:pPr>
    </w:p>
    <w:p>
      <w:r>
        <w:rPr>
          <w:b/>
          <w:sz w:val="20"/>
        </w:rPr>
        <w:t>5. Alterações de funcionamento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1"/>
        <w:gridCol w:w="2491"/>
        <w:gridCol w:w="2491"/>
        <w:gridCol w:w="2491"/>
      </w:tblGrid>
      <w:tr>
        <w:tc>
          <w:tcPr>
            <w:tcW w:type="dxa" w:w="2268"/>
          </w:tcPr>
          <w:p>
            <w:r>
              <w:rPr>
                <w:b/>
                <w:sz w:val="17"/>
              </w:rPr>
              <w:t>Critério</w:t>
            </w:r>
          </w:p>
        </w:tc>
        <w:tc>
          <w:tcPr>
            <w:tcW w:type="dxa" w:w="3023"/>
          </w:tcPr>
          <w:p>
            <w:r>
              <w:rPr>
                <w:b/>
                <w:sz w:val="17"/>
              </w:rPr>
              <w:t>@rgbeac</w:t>
              <w:br/>
              <w:t>(proposta jun. 2025)</w:t>
            </w:r>
          </w:p>
        </w:tc>
        <w:tc>
          <w:tcPr>
            <w:tcW w:type="dxa" w:w="3024"/>
          </w:tcPr>
          <w:p>
            <w:r>
              <w:rPr>
                <w:b/>
                <w:sz w:val="17"/>
              </w:rPr>
              <w:t>@codigo</w:t>
              <w:br/>
              <w:t>(proposta DL n.º 214/2013)</w:t>
            </w:r>
          </w:p>
        </w:tc>
        <w:tc>
          <w:tcPr>
            <w:tcW w:type="dxa" w:w="3024"/>
          </w:tcPr>
          <w:p>
            <w:r>
              <w:rPr>
                <w:b/>
                <w:sz w:val="17"/>
              </w:rPr>
              <w:t>@legislacao</w:t>
              <w:br/>
              <w:t>(vigente)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6"/>
              </w:rPr>
              <w:t>Âmbito das alterações a comunicar</w:t>
            </w:r>
          </w:p>
        </w:tc>
        <w:tc>
          <w:tcPr>
            <w:tcW w:type="dxa" w:w="3023"/>
          </w:tcPr>
          <w:p>
            <w:r>
              <w:rPr>
                <w:b w:val="0"/>
                <w:sz w:val="16"/>
              </w:rPr>
              <w:t>Qualquer modificação de "qualquer dos elementos previstos no n.º 1 do art.º 61.º" — âmbito mais amplo</w:t>
              <w:br/>
              <w:t>(Art.º 63.º, n.º 1)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Tipificado: modificação estrutural, transferência de titularidade, cessão de exploração, cessação da atividade, alteração do MV responsável</w:t>
              <w:br/>
              <w:t>(Art.º 38.º, n.º 1)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Tipificado: idem @codigo</w:t>
              <w:br/>
              <w:t>(Art.º 3.º-F, n.º 1)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6"/>
              </w:rPr>
              <w:t>Prazo de comunicação das alterações</w:t>
            </w:r>
          </w:p>
        </w:tc>
        <w:tc>
          <w:tcPr>
            <w:tcW w:type="dxa" w:w="3023"/>
          </w:tcPr>
          <w:p>
            <w:r>
              <w:rPr>
                <w:b w:val="0"/>
                <w:sz w:val="16"/>
              </w:rPr>
              <w:t>15 dias após a ocorrência</w:t>
              <w:br/>
              <w:t>(Art.º 63.º, n.º 1)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15 dias após a ocorrência</w:t>
              <w:br/>
              <w:t>(Art.º 38.º, n.º 1)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15 dias após a ocorrência</w:t>
              <w:br/>
              <w:t>(Art.º 3.º-F, n.º 1)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6"/>
              </w:rPr>
              <w:t>Via de comunicação das alterações</w:t>
            </w:r>
          </w:p>
        </w:tc>
        <w:tc>
          <w:tcPr>
            <w:tcW w:type="dxa" w:w="3023"/>
          </w:tcPr>
          <w:p>
            <w:r>
              <w:rPr>
                <w:b w:val="0"/>
                <w:sz w:val="16"/>
              </w:rPr>
              <w:t>✅ Via eletrónica — balcão único eletrónico</w:t>
              <w:br/>
              <w:t>(Art.º 63.º, n.º 1)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❌ Comunicação à DGAV — sem referência expressa a via eletrónica</w:t>
              <w:br/>
              <w:t>(Art.º 38.º, n.º 1)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✅ Via eletrónica — balcão único eletrónico</w:t>
              <w:br/>
              <w:t>(Art.º 3.º-F, n.º 1)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6"/>
              </w:rPr>
              <w:t>Entidade responsável pela atualização do registo</w:t>
            </w:r>
          </w:p>
        </w:tc>
        <w:tc>
          <w:tcPr>
            <w:tcW w:type="dxa" w:w="3023"/>
          </w:tcPr>
          <w:p>
            <w:r>
              <w:rPr>
                <w:b w:val="0"/>
                <w:sz w:val="16"/>
              </w:rPr>
              <w:t>"Compete à DGAV ICNF, I.P., atualizar" — referência a dois organismos (possível erro de redação)</w:t>
              <w:br/>
              <w:t>(Art.º 63.º, n.º 3)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"Compete à DGAV atualizar"</w:t>
              <w:br/>
              <w:t>(Art.º 38.º, n.º 3)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"Compete à DGAV atualizar"</w:t>
              <w:br/>
              <w:t>(Art.º 3.º-F, n.º 3)</w:t>
            </w:r>
          </w:p>
        </w:tc>
      </w:tr>
    </w:tbl>
    <w:p>
      <w:pPr>
        <w:spacing w:before="0" w:after="0"/>
      </w:pPr>
    </w:p>
    <w:p>
      <w:r>
        <w:rPr>
          <w:b/>
          <w:sz w:val="20"/>
        </w:rPr>
        <w:t>6. Suspensão de atividade e encerramento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1"/>
        <w:gridCol w:w="2491"/>
        <w:gridCol w:w="2491"/>
        <w:gridCol w:w="2491"/>
      </w:tblGrid>
      <w:tr>
        <w:tc>
          <w:tcPr>
            <w:tcW w:type="dxa" w:w="2268"/>
          </w:tcPr>
          <w:p>
            <w:r>
              <w:rPr>
                <w:b/>
                <w:sz w:val="17"/>
              </w:rPr>
              <w:t>Critério</w:t>
            </w:r>
          </w:p>
        </w:tc>
        <w:tc>
          <w:tcPr>
            <w:tcW w:type="dxa" w:w="3023"/>
          </w:tcPr>
          <w:p>
            <w:r>
              <w:rPr>
                <w:b/>
                <w:sz w:val="17"/>
              </w:rPr>
              <w:t>@rgbeac</w:t>
              <w:br/>
              <w:t>(proposta jun. 2025)</w:t>
            </w:r>
          </w:p>
        </w:tc>
        <w:tc>
          <w:tcPr>
            <w:tcW w:type="dxa" w:w="3024"/>
          </w:tcPr>
          <w:p>
            <w:r>
              <w:rPr>
                <w:b/>
                <w:sz w:val="17"/>
              </w:rPr>
              <w:t>@codigo</w:t>
              <w:br/>
              <w:t>(proposta DL n.º 214/2013)</w:t>
            </w:r>
          </w:p>
        </w:tc>
        <w:tc>
          <w:tcPr>
            <w:tcW w:type="dxa" w:w="3024"/>
          </w:tcPr>
          <w:p>
            <w:r>
              <w:rPr>
                <w:b/>
                <w:sz w:val="17"/>
              </w:rPr>
              <w:t>@legislacao</w:t>
              <w:br/>
              <w:t>(vigente)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6"/>
              </w:rPr>
              <w:t>Órgão competente para determinar suspensão/encerramento</w:t>
            </w:r>
          </w:p>
        </w:tc>
        <w:tc>
          <w:tcPr>
            <w:tcW w:type="dxa" w:w="3023"/>
          </w:tcPr>
          <w:p>
            <w:r>
              <w:rPr>
                <w:b w:val="0"/>
                <w:sz w:val="16"/>
              </w:rPr>
              <w:t>"A DGAV" — sem identificar cargo</w:t>
              <w:br/>
              <w:t>(Art.º 64.º, n.º 1)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"O diretor-geral de Alimentação e Veterinária, mediante despacho"</w:t>
              <w:br/>
              <w:t>(Art.º 39.º, n.º 1)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"O diretor-geral de Alimentação e Veterinária, mediante despacho"</w:t>
              <w:br/>
              <w:t>(Art.º 3.º-G, n.º 1)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6"/>
              </w:rPr>
              <w:t>Causas (a) Riscos higiossanitários</w:t>
            </w:r>
          </w:p>
        </w:tc>
        <w:tc>
          <w:tcPr>
            <w:tcW w:type="dxa" w:w="3023"/>
          </w:tcPr>
          <w:p>
            <w:r>
              <w:rPr>
                <w:b w:val="0"/>
                <w:sz w:val="16"/>
              </w:rPr>
              <w:t>✅ Al. a) — "que ponham em causa a saúde das pessoas **ou** dos animais"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✅ Al. a) — "que ponham em causa a saúde das pessoas **e/ou** dos animais"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✅ Al. a) — "que ponham em causa a saúde das pessoas **e ou** dos animais"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6"/>
              </w:rPr>
              <w:t>Causas (b) (c) (d) — maus-tratos, saúde/bem-estar, segurança</w:t>
            </w:r>
          </w:p>
        </w:tc>
        <w:tc>
          <w:tcPr>
            <w:tcW w:type="dxa" w:w="3023"/>
          </w:tcPr>
          <w:p>
            <w:r>
              <w:rPr>
                <w:b w:val="0"/>
                <w:sz w:val="16"/>
              </w:rPr>
              <w:t>✅ Als. b), c), d) — idêntico ao @codigo e @legislacao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✅ Als. b), c), d)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✅ Als. b), c), d)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6"/>
              </w:rPr>
              <w:t>Instrução do processo</w:t>
            </w:r>
          </w:p>
        </w:tc>
        <w:tc>
          <w:tcPr>
            <w:tcW w:type="dxa" w:w="3023"/>
          </w:tcPr>
          <w:p>
            <w:r>
              <w:rPr>
                <w:b w:val="0"/>
                <w:sz w:val="16"/>
              </w:rPr>
              <w:t>"Processo instruído pela DGAV" — nível central</w:t>
              <w:br/>
              <w:t>(Art.º 64.º, n.º 2)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"Processo instruído pela direção de serviços de alimentação e veterinária da região" — nível regional</w:t>
              <w:br/>
              <w:t>(Art.º 39.º, n.º 2)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"Processo instruído pela direção de serviços veterinários da região" — nível regional</w:t>
              <w:br/>
              <w:t>(Art.º 3.º-G, n.º 2)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6"/>
              </w:rPr>
              <w:t>Prazo máximo de suspensão</w:t>
            </w:r>
          </w:p>
        </w:tc>
        <w:tc>
          <w:tcPr>
            <w:tcW w:type="dxa" w:w="3023"/>
          </w:tcPr>
          <w:p>
            <w:r>
              <w:rPr>
                <w:b w:val="0"/>
                <w:sz w:val="16"/>
              </w:rPr>
              <w:t>180 dias</w:t>
              <w:br/>
              <w:t>(Art.º 64.º, n.º 4)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180 dias</w:t>
              <w:br/>
              <w:t>(Art.º 39.º, n.º 4)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180 dias</w:t>
              <w:br/>
              <w:t>(Art.º 3.º-G, n.º 4)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6"/>
              </w:rPr>
              <w:t>Prazo para cessar após decisão de encerramento definitivo</w:t>
            </w:r>
          </w:p>
        </w:tc>
        <w:tc>
          <w:tcPr>
            <w:tcW w:type="dxa" w:w="3023"/>
          </w:tcPr>
          <w:p>
            <w:r>
              <w:rPr>
                <w:b w:val="0"/>
                <w:sz w:val="16"/>
              </w:rPr>
              <w:t>⚠️ 10 dias úteis</w:t>
              <w:br/>
              <w:t>(Art.º 64.º, n.º 5)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5 dias úteis</w:t>
              <w:br/>
              <w:t>(Art.º 39.º, n.º 5)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5 dias úteis</w:t>
              <w:br/>
              <w:t>(Art.º 3.º-G, n.º 5)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6"/>
              </w:rPr>
              <w:t>Responsável pela recolha dos animais em caso de encerramento compulsivo</w:t>
            </w:r>
          </w:p>
        </w:tc>
        <w:tc>
          <w:tcPr>
            <w:tcW w:type="dxa" w:w="3023"/>
          </w:tcPr>
          <w:p>
            <w:r>
              <w:rPr>
                <w:b w:val="0"/>
                <w:sz w:val="16"/>
              </w:rPr>
              <w:t>"Câmaras municipais executam as medidas; **centros de bem-estar animal** procedem à recolha"</w:t>
              <w:br/>
              <w:t>(Art.º 64.º, n.º 6)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"Câmaras municipais executam as medidas e procedem, quando necessário, à recolha dos animais"</w:t>
              <w:br/>
              <w:t>(Art.º 39.º, n.º 6)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"Câmaras municipais executam as medidas e procedem, quando necessário, à recolha dos animais"</w:t>
              <w:br/>
              <w:t>(Art.º 3.º-G, n.º 6)</w:t>
            </w:r>
          </w:p>
        </w:tc>
      </w:tr>
    </w:tbl>
    <w:p>
      <w:pPr>
        <w:spacing w:before="0" w:after="0"/>
      </w:pPr>
    </w:p>
    <w:p>
      <w:r>
        <w:rPr>
          <w:b/>
          <w:sz w:val="20"/>
        </w:rPr>
        <w:t>7. Permissão de reabertura após suspensão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1"/>
        <w:gridCol w:w="2491"/>
        <w:gridCol w:w="2491"/>
        <w:gridCol w:w="2491"/>
      </w:tblGrid>
      <w:tr>
        <w:tc>
          <w:tcPr>
            <w:tcW w:type="dxa" w:w="2268"/>
          </w:tcPr>
          <w:p>
            <w:r>
              <w:rPr>
                <w:b/>
                <w:sz w:val="17"/>
              </w:rPr>
              <w:t>Critério</w:t>
            </w:r>
          </w:p>
        </w:tc>
        <w:tc>
          <w:tcPr>
            <w:tcW w:type="dxa" w:w="3023"/>
          </w:tcPr>
          <w:p>
            <w:r>
              <w:rPr>
                <w:b/>
                <w:sz w:val="17"/>
              </w:rPr>
              <w:t>@rgbeac</w:t>
              <w:br/>
              <w:t>(proposta jun. 2025)</w:t>
            </w:r>
          </w:p>
        </w:tc>
        <w:tc>
          <w:tcPr>
            <w:tcW w:type="dxa" w:w="3024"/>
          </w:tcPr>
          <w:p>
            <w:r>
              <w:rPr>
                <w:b/>
                <w:sz w:val="17"/>
              </w:rPr>
              <w:t>@codigo</w:t>
              <w:br/>
              <w:t>(proposta DL n.º 214/2013)</w:t>
            </w:r>
          </w:p>
        </w:tc>
        <w:tc>
          <w:tcPr>
            <w:tcW w:type="dxa" w:w="3024"/>
          </w:tcPr>
          <w:p>
            <w:r>
              <w:rPr>
                <w:b/>
                <w:sz w:val="17"/>
              </w:rPr>
              <w:t>@legislacao</w:t>
              <w:br/>
              <w:t>(vigente)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6"/>
              </w:rPr>
              <w:t>Órgão que realiza a visita de controlo</w:t>
            </w:r>
          </w:p>
        </w:tc>
        <w:tc>
          <w:tcPr>
            <w:tcW w:type="dxa" w:w="3023"/>
          </w:tcPr>
          <w:p>
            <w:r>
              <w:rPr>
                <w:b w:val="0"/>
                <w:sz w:val="16"/>
              </w:rPr>
              <w:t>"A DGAV realiza visita de controlo"</w:t>
              <w:br/>
              <w:t>(Art.º 65.º, n.º 1)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"A direção de serviços veterinários de alimentação e veterinária da região" realiza a visita</w:t>
              <w:br/>
              <w:t>(Art.º 40.º, n.º 1)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"A direção de serviços veterinários da região" realiza a visita</w:t>
              <w:br/>
              <w:t>(Art.º 3.º-H, n.º 1)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6"/>
              </w:rPr>
              <w:t>Prazo para realização da visita de controlo</w:t>
            </w:r>
          </w:p>
        </w:tc>
        <w:tc>
          <w:tcPr>
            <w:tcW w:type="dxa" w:w="3023"/>
          </w:tcPr>
          <w:p>
            <w:r>
              <w:rPr>
                <w:b w:val="0"/>
                <w:sz w:val="16"/>
              </w:rPr>
              <w:t>20 dias</w:t>
              <w:br/>
              <w:t>(Art.º 65.º, n.º 1)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20 dias</w:t>
              <w:br/>
              <w:t>(Art.º 40.º, n.º 1)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20 dias</w:t>
              <w:br/>
              <w:t>(Art.º 3.º-H, n.º 1)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6"/>
              </w:rPr>
              <w:t>Prazo para decisão de reabertura (silêncio → sem deferimento tácito)</w:t>
            </w:r>
          </w:p>
        </w:tc>
        <w:tc>
          <w:tcPr>
            <w:tcW w:type="dxa" w:w="3023"/>
          </w:tcPr>
          <w:p>
            <w:r>
              <w:rPr>
                <w:b w:val="0"/>
                <w:sz w:val="16"/>
              </w:rPr>
              <w:t>30 dias (ou 10 dias após visita)</w:t>
              <w:br/>
              <w:t>(Art.º 65.º, n.º 2)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30 dias (ou 10 dias após visita)</w:t>
              <w:br/>
              <w:t>(Art.º 40.º, n.º 2)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30 dias (ou 10 dias após visita)</w:t>
              <w:br/>
              <w:t>(Art.º 3.º-H, n.º 2)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6"/>
              </w:rPr>
              <w:t>Publicitação da reabertura</w:t>
            </w:r>
          </w:p>
        </w:tc>
        <w:tc>
          <w:tcPr>
            <w:tcW w:type="dxa" w:w="3023"/>
          </w:tcPr>
          <w:p>
            <w:r>
              <w:rPr>
                <w:b w:val="0"/>
                <w:sz w:val="16"/>
              </w:rPr>
              <w:t>✅ Pelos mesmos meios usados para publicitar a suspensão</w:t>
              <w:br/>
              <w:t>(Art.º 65.º, n.º 3)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✅ Pelos mesmos meios</w:t>
              <w:br/>
              <w:t>(Art.º 40.º, n.º 3)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✅ Pelos mesmos meios</w:t>
              <w:br/>
              <w:t>(Art.º 3.º-H, n.º 3)</w:t>
            </w:r>
          </w:p>
        </w:tc>
      </w:tr>
    </w:tbl>
    <w:p>
      <w:pPr>
        <w:spacing w:before="0" w:after="0"/>
      </w:pPr>
    </w:p>
    <w:p>
      <w:r>
        <w:rPr>
          <w:b/>
          <w:sz w:val="20"/>
        </w:rPr>
        <w:t>8. Reconhecimento mútuo (UE/EEE)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1"/>
        <w:gridCol w:w="2491"/>
        <w:gridCol w:w="2491"/>
        <w:gridCol w:w="2491"/>
      </w:tblGrid>
      <w:tr>
        <w:tc>
          <w:tcPr>
            <w:tcW w:type="dxa" w:w="2268"/>
          </w:tcPr>
          <w:p>
            <w:r>
              <w:rPr>
                <w:b/>
                <w:sz w:val="17"/>
              </w:rPr>
              <w:t>Critério</w:t>
            </w:r>
          </w:p>
        </w:tc>
        <w:tc>
          <w:tcPr>
            <w:tcW w:type="dxa" w:w="3023"/>
          </w:tcPr>
          <w:p>
            <w:r>
              <w:rPr>
                <w:b/>
                <w:sz w:val="17"/>
              </w:rPr>
              <w:t>@rgbeac</w:t>
              <w:br/>
              <w:t>(proposta jun. 2025)</w:t>
            </w:r>
          </w:p>
        </w:tc>
        <w:tc>
          <w:tcPr>
            <w:tcW w:type="dxa" w:w="3024"/>
          </w:tcPr>
          <w:p>
            <w:r>
              <w:rPr>
                <w:b/>
                <w:sz w:val="17"/>
              </w:rPr>
              <w:t>@codigo</w:t>
              <w:br/>
              <w:t>(proposta DL n.º 214/2013)</w:t>
            </w:r>
          </w:p>
        </w:tc>
        <w:tc>
          <w:tcPr>
            <w:tcW w:type="dxa" w:w="3024"/>
          </w:tcPr>
          <w:p>
            <w:r>
              <w:rPr>
                <w:b/>
                <w:sz w:val="17"/>
              </w:rPr>
              <w:t>@legislacao</w:t>
              <w:br/>
              <w:t>(vigente)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6"/>
              </w:rPr>
              <w:t>Proibição de duplicação de condições (n.º 1)</w:t>
            </w:r>
          </w:p>
        </w:tc>
        <w:tc>
          <w:tcPr>
            <w:tcW w:type="dxa" w:w="3023"/>
          </w:tcPr>
          <w:p>
            <w:r>
              <w:rPr>
                <w:b w:val="0"/>
                <w:sz w:val="16"/>
              </w:rPr>
              <w:t>✅ Art.º 67.º, n.º 1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✅ Art.º 42.º, n.º 1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❌ Ausente — não previsto em artigo equivalente.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6"/>
              </w:rPr>
              <w:t>Exceção para instalações físicas em território nacional (n.º 2)</w:t>
            </w:r>
          </w:p>
        </w:tc>
        <w:tc>
          <w:tcPr>
            <w:tcW w:type="dxa" w:w="3023"/>
          </w:tcPr>
          <w:p>
            <w:r>
              <w:rPr>
                <w:b w:val="0"/>
                <w:sz w:val="16"/>
              </w:rPr>
              <w:t>✅ Art.º 67.º, n.º 2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✅ Art.º 42.º, n.º 2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❌ Ausente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6"/>
              </w:rPr>
              <w:t>Ressalva de qualificações profissionais (n.º 3)</w:t>
            </w:r>
          </w:p>
        </w:tc>
        <w:tc>
          <w:tcPr>
            <w:tcW w:type="dxa" w:w="3023"/>
          </w:tcPr>
          <w:p>
            <w:r>
              <w:rPr>
                <w:b w:val="0"/>
                <w:sz w:val="16"/>
              </w:rPr>
              <w:t>✅ "A legislação aplicável ao reconhecimento mútuo de requisitos relativos a qualificações"</w:t>
              <w:br/>
              <w:t>(Art.º 67.º, n.º 3)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✅ Remissão expressa para a Lei n.º 9/2009 (qualificações)</w:t>
              <w:br/>
              <w:t>(Art.º 42.º, n.º 3 — texto do docx)</w:t>
            </w:r>
          </w:p>
        </w:tc>
        <w:tc>
          <w:tcPr>
            <w:tcW w:type="dxa" w:w="3024"/>
          </w:tcPr>
          <w:p>
            <w:r>
              <w:rPr>
                <w:b w:val="0"/>
                <w:sz w:val="16"/>
              </w:rPr>
              <w:t>❌ Ausente</w:t>
            </w:r>
          </w:p>
        </w:tc>
      </w:tr>
    </w:tbl>
    <w:sectPr w:rsidR="00FC693F" w:rsidRPr="0006063C" w:rsidSect="00034616">
      <w:pgSz w:w="12240" w:h="15840"/>
      <w:pgMar w:top="1138" w:right="1138" w:bottom="1138" w:left="113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