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  <w:jc w:val="left"/>
      </w:pPr>
      <w:r>
        <w:rPr>
          <w:b/>
          <w:color w:val="1F4E79"/>
          <w:sz w:val="24"/>
        </w:rPr>
        <w:t>Prazos de Implementação — Regulamento 2023/0447 (cães e gatos)</w:t>
      </w:r>
    </w:p>
    <w:p>
      <w:pPr>
        <w:spacing w:before="0" w:after="160"/>
      </w:pPr>
      <w:r>
        <w:rPr>
          <w:i/>
          <w:color w:val="606060"/>
          <w:sz w:val="17"/>
        </w:rPr>
        <w:t>Análise cruzada por categoria temporal — organização temática | Prazos contados a partir da data de entrada em vigor (vigésimo dia após publicação no JOUE)</w:t>
      </w:r>
    </w:p>
    <w:tbl>
      <w:tblPr>
        <w:tblLook w:firstColumn="1" w:firstRow="1" w:lastColumn="0" w:lastRow="0" w:noHBand="0" w:noVBand="1" w:val="04A0"/>
        <w:tblLayout w:type="fixed"/>
        <w:tblW w:w="15137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shd w:val="clear" w:color="auto" w:fill="1F4E79"/>
            <w:tcW w:w="6122" w:type="dxa"/>
            <w:vAlign w:val="center"/>
            <w:tcMar>
              <w:top w:w="40" w:type="dxa"/>
              <w:bottom w:w="40" w:type="dxa"/>
              <w:left w:w="72" w:type="dxa"/>
              <w:right w:w="72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Norma / Disposição</w:t>
            </w:r>
          </w:p>
        </w:tc>
        <w:tc>
          <w:tcPr>
            <w:shd w:val="clear" w:color="auto" w:fill="1F4E79"/>
            <w:tcW w:w="751" w:type="dxa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2</w:t>
              <w:br/>
            </w:r>
            <w:r>
              <w:rPr>
                <w:b/>
                <w:color w:val="FFFFFF"/>
                <w:sz w:val="16"/>
              </w:rPr>
              <w:t>anos</w:t>
            </w:r>
          </w:p>
        </w:tc>
        <w:tc>
          <w:tcPr>
            <w:shd w:val="clear" w:color="auto" w:fill="1F4E79"/>
            <w:tcW w:w="751" w:type="dxa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3</w:t>
              <w:br/>
            </w:r>
            <w:r>
              <w:rPr>
                <w:b/>
                <w:color w:val="FFFFFF"/>
                <w:sz w:val="16"/>
              </w:rPr>
              <w:t>anos</w:t>
            </w:r>
          </w:p>
        </w:tc>
        <w:tc>
          <w:tcPr>
            <w:shd w:val="clear" w:color="auto" w:fill="1F4E79"/>
            <w:tcW w:w="751" w:type="dxa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4</w:t>
              <w:br/>
            </w:r>
            <w:r>
              <w:rPr>
                <w:b/>
                <w:color w:val="FFFFFF"/>
                <w:sz w:val="16"/>
              </w:rPr>
              <w:t>anos</w:t>
            </w:r>
          </w:p>
        </w:tc>
        <w:tc>
          <w:tcPr>
            <w:shd w:val="clear" w:color="auto" w:fill="1F4E79"/>
            <w:tcW w:w="751" w:type="dxa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5</w:t>
              <w:br/>
            </w:r>
            <w:r>
              <w:rPr>
                <w:b/>
                <w:color w:val="FFFFFF"/>
                <w:sz w:val="16"/>
              </w:rPr>
              <w:t>anos</w:t>
            </w:r>
          </w:p>
        </w:tc>
        <w:tc>
          <w:tcPr>
            <w:shd w:val="clear" w:color="auto" w:fill="1F4E79"/>
            <w:tcW w:w="751" w:type="dxa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6</w:t>
              <w:br/>
            </w:r>
            <w:r>
              <w:rPr>
                <w:b/>
                <w:color w:val="FFFFFF"/>
                <w:sz w:val="16"/>
              </w:rPr>
              <w:t>anos</w:t>
            </w:r>
          </w:p>
        </w:tc>
        <w:tc>
          <w:tcPr>
            <w:shd w:val="clear" w:color="auto" w:fill="1F4E79"/>
            <w:tcW w:w="751" w:type="dxa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7</w:t>
              <w:br/>
            </w:r>
            <w:r>
              <w:rPr>
                <w:b/>
                <w:color w:val="FFFFFF"/>
                <w:sz w:val="16"/>
              </w:rPr>
              <w:t>anos</w:t>
            </w:r>
          </w:p>
        </w:tc>
        <w:tc>
          <w:tcPr>
            <w:shd w:val="clear" w:color="auto" w:fill="1F4E79"/>
            <w:tcW w:w="751" w:type="dxa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8</w:t>
              <w:br/>
            </w:r>
            <w:r>
              <w:rPr>
                <w:b/>
                <w:color w:val="FFFFFF"/>
                <w:sz w:val="16"/>
              </w:rPr>
              <w:t>anos</w:t>
            </w:r>
          </w:p>
        </w:tc>
        <w:tc>
          <w:tcPr>
            <w:shd w:val="clear" w:color="auto" w:fill="1F4E79"/>
            <w:tcW w:w="751" w:type="dxa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10</w:t>
              <w:br/>
            </w:r>
            <w:r>
              <w:rPr>
                <w:b/>
                <w:color w:val="FFFFFF"/>
                <w:sz w:val="16"/>
              </w:rPr>
              <w:t>anos</w:t>
            </w:r>
          </w:p>
        </w:tc>
        <w:tc>
          <w:tcPr>
            <w:shd w:val="clear" w:color="auto" w:fill="1F4E79"/>
            <w:tcW w:w="751" w:type="dxa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14</w:t>
              <w:br/>
            </w:r>
            <w:r>
              <w:rPr>
                <w:b/>
                <w:color w:val="FFFFFF"/>
                <w:sz w:val="16"/>
              </w:rPr>
              <w:t>anos</w:t>
            </w:r>
          </w:p>
        </w:tc>
        <w:tc>
          <w:tcPr>
            <w:shd w:val="clear" w:color="auto" w:fill="1F4E79"/>
            <w:tcW w:w="751" w:type="dxa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15</w:t>
              <w:br/>
            </w:r>
            <w:r>
              <w:rPr>
                <w:b/>
                <w:color w:val="FFFFFF"/>
                <w:sz w:val="16"/>
              </w:rPr>
              <w:t>anos</w:t>
            </w:r>
          </w:p>
        </w:tc>
        <w:tc>
          <w:tcPr>
            <w:shd w:val="clear" w:color="auto" w:fill="1F4E79"/>
            <w:tcW w:w="751" w:type="dxa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1 Jul.</w:t>
              <w:br/>
            </w:r>
            <w:r>
              <w:rPr>
                <w:b/>
                <w:color w:val="FFFFFF"/>
                <w:sz w:val="16"/>
              </w:rPr>
              <w:t>2030</w:t>
            </w:r>
          </w:p>
        </w:tc>
        <w:tc>
          <w:tcPr>
            <w:shd w:val="clear" w:color="auto" w:fill="1F4E79"/>
            <w:tcW w:w="751" w:type="dxa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1 Jul.</w:t>
              <w:br/>
            </w:r>
            <w:r>
              <w:rPr>
                <w:b/>
                <w:color w:val="FFFFFF"/>
                <w:sz w:val="16"/>
              </w:rPr>
              <w:t>2036</w:t>
            </w:r>
          </w:p>
        </w:tc>
      </w:tr>
      <w:tr>
        <w:tc>
          <w:tcPr>
            <w:tcW w:type="dxa" w:w="15132"/>
            <w:gridSpan w:val="13"/>
            <w:shd w:val="clear" w:color="auto" w:fill="D9E8F5"/>
            <w:vAlign w:val="center"/>
            <w:tcMar>
              <w:top w:w="50" w:type="dxa"/>
              <w:bottom w:w="5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/>
                <w:color w:val="1F4E79"/>
                <w:sz w:val="17"/>
              </w:rPr>
              <w:t>Grupo 1 — Bem-estar e Reprodução</w:t>
            </w: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7(3)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"The delegated acts concerning the excessive conformational traits shall be adopted by 1 July 2030."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FFFFFF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7(3)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"The delegated acts concerning the genotypes shall be adopted by 1 July 2036."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8(2)</w:t>
              <w:br/>
            </w:r>
            <w:r>
              <w:rPr>
                <w:b w:val="0"/>
                <w:i/>
                <w:color w:val="707070"/>
                <w:sz w:val="14"/>
              </w:rPr>
              <w:t>[via Art. 33(2)(iii)]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"Article 8(2) shall apply from 1 July 2030."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FFFFFF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8(1)</w:t>
              <w:br/>
            </w:r>
            <w:r>
              <w:rPr>
                <w:b w:val="0"/>
                <w:i/>
                <w:color w:val="707070"/>
                <w:sz w:val="14"/>
              </w:rPr>
              <w:t>[via Art. 33(2)(iii)]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"Article 8(1) shall apply from 1 July 2036."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12(2)(3)</w:t>
              <w:br/>
            </w:r>
            <w:r>
              <w:rPr>
                <w:b w:val="0"/>
                <w:i/>
                <w:color w:val="707070"/>
                <w:sz w:val="14"/>
              </w:rPr>
              <w:t>[via Art. 33(2)(v)]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"Article 12(2) and (3) shall apply from … seven years from the date of entry into force of this Regulation."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FFFFFF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12(4)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"The implementing act concerning the training courses referred to in paragraph 3 shall be adopted by … [3 years from entry into force of this Regulation]."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13(1)(a)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"… establishments … receive a visit by a veterinarian … initially by … [three years after the date of entry into force of this Regulation] or one year following the notification of the new establishment."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FFFFFF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13(2)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"By … [24 months from the date of entry into force of this Regulation], the Commission shall adopt delegated acts … laying down the minimum criteria to be assessed by the veterinarian during the advisory welfare visit."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16</w:t>
              <w:br/>
            </w:r>
            <w:r>
              <w:rPr>
                <w:b w:val="0"/>
                <w:i/>
                <w:color w:val="707070"/>
                <w:sz w:val="14"/>
              </w:rPr>
              <w:t>[via Art. 33(2)(i)]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"Article 16 shall apply from … [three years from the date of entry into force of this Regulation]."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15132"/>
            <w:gridSpan w:val="13"/>
            <w:shd w:val="clear" w:color="auto" w:fill="D9E8F5"/>
            <w:vAlign w:val="center"/>
            <w:tcMar>
              <w:top w:w="50" w:type="dxa"/>
              <w:bottom w:w="5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/>
                <w:color w:val="1F4E79"/>
                <w:sz w:val="17"/>
              </w:rPr>
              <w:t>Grupo 2 — Identificação e Rastreabilidade</w:t>
            </w: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20(2)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"Where dogs and cats have been individually identified … before … [two years after the date of entry into force of this Regulation] they shall be considered to be compliant with the requirements in paragraph 1…"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FFFFFF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20(7)(a)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"… for operators and natural or legal persons placing dogs and cats on the market from … [4 years from the entry into force of this Regulation]."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20(7)(b)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"… for pet owners … who do not place dogs on the market: from … [10 years from entry into force of this Regulation]."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FFFFFF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20(7)(c)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"… for pet owners … who do not place cats on the market: from … [15 years from entry into force of this Regulation]."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15132"/>
            <w:gridSpan w:val="13"/>
            <w:shd w:val="clear" w:color="auto" w:fill="D9E8F5"/>
            <w:vAlign w:val="center"/>
            <w:tcMar>
              <w:top w:w="50" w:type="dxa"/>
              <w:bottom w:w="5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/>
                <w:color w:val="1F4E79"/>
                <w:sz w:val="17"/>
              </w:rPr>
              <w:t>Grupo 3 — Bases de Dados e Publicidade Online</w:t>
            </w: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21(3)</w:t>
              <w:br/>
            </w:r>
            <w:r>
              <w:rPr>
                <w:b w:val="0"/>
                <w:i/>
                <w:color w:val="707070"/>
                <w:sz w:val="14"/>
              </w:rPr>
              <w:t>[via Art. 33(2)(ii)]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"Article 21(3) … shall apply from … [four years from entry into force of this Regulation]."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FFFFFF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21(6)(a)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"The implementing acts referred to in point (a) shall be adopted by … [two years after the date of entry into force of this Regulation]…"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21(6)(b)(c)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"… the implementing act referred to in points (b) and (c) shall be adopted by … [three years from date of entry into force of this Regulation]."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FFFFFF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23(1)</w:t>
              <w:br/>
            </w:r>
            <w:r>
              <w:rPr>
                <w:b w:val="0"/>
                <w:i/>
                <w:color w:val="707070"/>
                <w:sz w:val="14"/>
              </w:rPr>
              <w:t>[via Art. 33(2)(ii)]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"Article 23(1) shall apply from … [four years from entry into force of this Regulation]."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23(7)(a)(c)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"The Commission shall adopt the implementing acts referred to … points (a) and (c) by … [two years after the date of entry into force of this Regulation]."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FFFFFF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23(7)(b)(d)(e)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"It shall adopt the implementing acts referred to … points (b), (d) and (e) by … [three years from the date of entry into force of this Regulation]."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15132"/>
            <w:gridSpan w:val="13"/>
            <w:shd w:val="clear" w:color="auto" w:fill="D9E8F5"/>
            <w:vAlign w:val="center"/>
            <w:tcMar>
              <w:top w:w="50" w:type="dxa"/>
              <w:bottom w:w="5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/>
                <w:color w:val="1F4E79"/>
                <w:sz w:val="17"/>
              </w:rPr>
              <w:t>Grupo 4 — Detenção Responsável e Formação</w:t>
            </w: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15</w:t>
              <w:br/>
            </w:r>
            <w:r>
              <w:rPr>
                <w:b w:val="0"/>
                <w:i/>
                <w:color w:val="707070"/>
                <w:sz w:val="14"/>
              </w:rPr>
              <w:t>[via Art. 33(2)(iv)]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"Article 15 … shall apply from … [five years from the date of entry into force of this Regulation]."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FFFFFF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21(3) 2.ª parte</w:t>
              <w:br/>
              <w:br/>
            </w:r>
            <w:r>
              <w:rPr>
                <w:b w:val="0"/>
                <w:i/>
                <w:color w:val="707070"/>
                <w:sz w:val="14"/>
              </w:rPr>
              <w:t>+ 21(4)(5)</w:t>
            </w:r>
            <w:r>
              <w:rPr>
                <w:b w:val="0"/>
                <w:i/>
                <w:color w:val="707070"/>
                <w:sz w:val="14"/>
              </w:rPr>
              <w:t>[via Art. 33(2)(iv)]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"Article 21(3), second subparagraph, (4) and (5) … shall apply from … [five years from the date of entry into force of this Regulation]."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22(1)(a)(b)(c)</w:t>
              <w:br/>
            </w:r>
            <w:r>
              <w:rPr>
                <w:b w:val="0"/>
                <w:i/>
                <w:color w:val="707070"/>
                <w:sz w:val="14"/>
              </w:rPr>
              <w:t>[via Art. 33(2)(iv)]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"Article 22(1), points (a), (b) and (c) … shall apply from … [five years from the date of entry into force of this Regulation]."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FFFFFF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23(3)(4)</w:t>
              <w:br/>
            </w:r>
            <w:r>
              <w:rPr>
                <w:b w:val="0"/>
                <w:i/>
                <w:color w:val="707070"/>
                <w:sz w:val="14"/>
              </w:rPr>
              <w:t>[via Art. 33(2)(iv)]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"Article 23(3) and (4) … shall apply from … [five years from the date of entry into force of this Regulation]."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15132"/>
            <w:gridSpan w:val="13"/>
            <w:shd w:val="clear" w:color="auto" w:fill="D9E8F5"/>
            <w:vAlign w:val="center"/>
            <w:tcMar>
              <w:top w:w="50" w:type="dxa"/>
              <w:bottom w:w="5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/>
                <w:color w:val="1F4E79"/>
                <w:sz w:val="17"/>
              </w:rPr>
              <w:t>Grupo 5 — Importação e Movimento</w:t>
            </w: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10</w:t>
              <w:br/>
            </w:r>
            <w:r>
              <w:rPr>
                <w:b w:val="0"/>
                <w:i/>
                <w:color w:val="707070"/>
                <w:sz w:val="14"/>
              </w:rPr>
              <w:t>[via Art. 33(2)(vi)]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"Article 10 shall apply from … [eight years from the date of entry into force of this Regulation]."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FFFFFF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26(1)(2)(3)</w:t>
              <w:br/>
            </w:r>
            <w:r>
              <w:rPr>
                <w:b w:val="0"/>
                <w:i/>
                <w:color w:val="707070"/>
                <w:sz w:val="14"/>
              </w:rPr>
              <w:t>[via Art. 33(2)(iv)]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"Article 26(1), (2) and (3) shall apply from … [five years from the date of entry into force of this Regulation]."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26(4)</w:t>
              <w:br/>
            </w:r>
            <w:r>
              <w:rPr>
                <w:b w:val="0"/>
                <w:i/>
                <w:color w:val="707070"/>
                <w:sz w:val="14"/>
              </w:rPr>
              <w:t>[via Art. 33(2)(vii)]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"Article 26(4) shall apply from … [10 years from the entry into force of the Regulation]."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FFFFFF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26(5)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"The Commission shall by … [8 years after the date of entry into force of this Regulation] adopt implementing acts laying down detailed arrangements for the Union pet travellers' database."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15132"/>
            <w:gridSpan w:val="13"/>
            <w:shd w:val="clear" w:color="auto" w:fill="D9E8F5"/>
            <w:vAlign w:val="center"/>
            <w:tcMar>
              <w:top w:w="50" w:type="dxa"/>
              <w:bottom w:w="5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/>
                <w:color w:val="1F4E79"/>
                <w:sz w:val="17"/>
              </w:rPr>
              <w:t>Grupo 6 — Relatórios e Avaliação</w:t>
            </w: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24(2)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"The first such report shall be drawn up and transmitted to the Commission by … [6 years from the date of entry into force of this Regulation]."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FFFFFF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31(1)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"… the Commission shall publish, by … [7 years from the date of entry into force of this Regulation] … a monitoring report on the welfare of dogs and cats placed on the market in the Union."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31(2)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"By … [14 years from the date of entry into force of this Regulation], the Commission shall carry out an evaluation of this Regulation…"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15132"/>
            <w:gridSpan w:val="13"/>
            <w:shd w:val="clear" w:color="auto" w:fill="D9E8F5"/>
            <w:vAlign w:val="center"/>
            <w:tcMar>
              <w:top w:w="50" w:type="dxa"/>
              <w:bottom w:w="5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/>
                <w:color w:val="1F4E79"/>
                <w:sz w:val="17"/>
              </w:rPr>
              <w:t>Grupo 7 — Disposições Institucionais</w:t>
            </w:r>
          </w:p>
        </w:tc>
      </w:tr>
      <w:tr>
        <w:tc>
          <w:tcPr>
            <w:shd w:val="clear" w:color="auto" w:fill="EBF3FB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30(2)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"Member States shall, by … [two years after the date of entry into force of this Regulation], inform the Commission about any existing stricter national rules…"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EBF3FB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  <w:tr>
        <w:tc>
          <w:tcPr>
            <w:shd w:val="clear" w:color="auto" w:fill="FFFFFF"/>
            <w:tcW w:w="6122" w:type="dxa"/>
            <w:vAlign w:val="center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2"/>
            </w:pPr>
            <w:r>
              <w:rPr>
                <w:b/>
                <w:color w:val="1F4E79"/>
                <w:sz w:val="16"/>
              </w:rPr>
              <w:t>Art. 33(2)</w:t>
            </w:r>
          </w:p>
          <w:p>
            <w:pPr>
              <w:spacing w:before="0" w:after="0"/>
            </w:pPr>
            <w:r>
              <w:rPr>
                <w:color w:val="404040"/>
                <w:sz w:val="15"/>
              </w:rPr>
              <w:t>"It shall apply from … [two years from the date of entry into force of this Regulation]. However, Articles 8, 10, 12(2)(3), 15, 16, 21, 22, 23, 26 apply from later dates as specified herein."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9"/>
                <w:sz w:val="20"/>
              </w:rPr>
              <w:t>✓</w:t>
            </w: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shd w:val="clear" w:color="auto" w:fill="FFFFFF"/>
            <w:tcW w:w="751" w:type="dxa"/>
            <w:vAlign w:val="center"/>
            <w:tcMar>
              <w:top w:w="40" w:type="dxa"/>
              <w:bottom w:w="40" w:type="dxa"/>
              <w:left w:w="10" w:type="dxa"/>
              <w:right w:w="1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200" w:after="0"/>
      </w:pPr>
      <w:r>
        <w:rPr>
          <w:i/>
          <w:color w:val="808080"/>
          <w:sz w:val="15"/>
        </w:rPr>
        <w:t>Nota: As datas específicas de 1 Jul. 2030 e 1 Jul. 2036 não dependem da data de entrada em vigor. Os prazos em anos são contados a partir da entrada em vigor, que ocorre no vigésimo dia após publicação no Jornal Oficial da UE. Texto verbatim em inglês conforme Art. 33 e artigos respectivos do Regulamento 2023/0447.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