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4E79"/>
          <w:sz w:val="24"/>
        </w:rPr>
        <w:t>Prazos de Implementação — Regulamento 2023/0447 (cães e gatos) — Versão Extensa</w:t>
      </w:r>
    </w:p>
    <w:p>
      <w:pPr>
        <w:spacing w:before="0" w:after="160"/>
      </w:pPr>
      <w:r>
        <w:rPr>
          <w:i/>
          <w:color w:val="606060"/>
          <w:sz w:val="16"/>
        </w:rPr>
        <w:t>Cada linha cita ipsis verbis o texto substantivo do artigo [NORMA] e a cláusula de prazo [PRAZO]. Organização temática. Prazos contados a partir da entrada em vigor (vigésimo dia após publicação no JOUE). Datas de 1 Jul. 2030 e 1 Jul. 2036 são absolutas (Art. 33, ponto iii).</w:t>
      </w:r>
    </w:p>
    <w:tbl>
      <w:tblPr>
        <w:tblLook w:firstColumn="1" w:firstRow="1" w:lastColumn="0" w:lastRow="0" w:noHBand="0" w:noVBand="1" w:val="04A0"/>
        <w:tblLayout w:type="fixed"/>
        <w:tblW w:w="15137"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1164"/>
        <w:gridCol w:w="1164"/>
        <w:gridCol w:w="1164"/>
        <w:gridCol w:w="1164"/>
        <w:gridCol w:w="1164"/>
        <w:gridCol w:w="1164"/>
        <w:gridCol w:w="1164"/>
        <w:gridCol w:w="1164"/>
        <w:gridCol w:w="1164"/>
        <w:gridCol w:w="1164"/>
        <w:gridCol w:w="1164"/>
        <w:gridCol w:w="1164"/>
        <w:gridCol w:w="1164"/>
      </w:tblGrid>
      <w:tr>
        <w:tc>
          <w:tcPr>
            <w:shd w:val="clear" w:color="auto" w:fill="1F4E79"/>
            <w:tcW w:w="7937" w:type="dxa"/>
            <w:vAlign w:val="center"/>
            <w:tcMar>
              <w:top w:w="40" w:type="dxa"/>
              <w:bottom w:w="40" w:type="dxa"/>
              <w:left w:w="72" w:type="dxa"/>
              <w:right w:w="72" w:type="dxa"/>
            </w:tcMar>
          </w:tcPr>
          <w:p>
            <w:pPr>
              <w:spacing w:before="0" w:after="0"/>
              <w:jc w:val="center"/>
            </w:pPr>
            <w:r>
              <w:rPr>
                <w:b/>
                <w:color w:val="FFFFFF"/>
                <w:sz w:val="18"/>
              </w:rPr>
              <w:t>Norma / Disposição</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2</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3</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4</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5</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6</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7</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8</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10</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14</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15</w:t>
              <w:br/>
            </w:r>
            <w:r>
              <w:rPr>
                <w:b/>
                <w:color w:val="FFFFFF"/>
                <w:sz w:val="15"/>
              </w:rPr>
              <w:t>anos</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1 Jul.</w:t>
              <w:br/>
            </w:r>
            <w:r>
              <w:rPr>
                <w:b/>
                <w:color w:val="FFFFFF"/>
                <w:sz w:val="15"/>
              </w:rPr>
              <w:t>2030</w:t>
            </w:r>
          </w:p>
        </w:tc>
        <w:tc>
          <w:tcPr>
            <w:shd w:val="clear" w:color="auto" w:fill="1F4E79"/>
            <w:tcW w:w="600" w:type="dxa"/>
            <w:vAlign w:val="center"/>
            <w:tcMar>
              <w:top w:w="40" w:type="dxa"/>
              <w:bottom w:w="40" w:type="dxa"/>
              <w:left w:w="15" w:type="dxa"/>
              <w:right w:w="15" w:type="dxa"/>
            </w:tcMar>
          </w:tcPr>
          <w:p>
            <w:pPr>
              <w:spacing w:before="0" w:after="0"/>
              <w:jc w:val="center"/>
            </w:pPr>
            <w:r>
              <w:rPr>
                <w:b/>
                <w:color w:val="FFFFFF"/>
                <w:sz w:val="15"/>
              </w:rPr>
              <w:t>1 Jul.</w:t>
              <w:br/>
            </w:r>
            <w:r>
              <w:rPr>
                <w:b/>
                <w:color w:val="FFFFFF"/>
                <w:sz w:val="15"/>
              </w:rPr>
              <w:t>2036</w:t>
            </w: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1 — Bem-estar e Reprodução</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8(1)</w:t>
              <w:br/>
            </w:r>
            <w:r>
              <w:rPr>
                <w:i/>
                <w:color w:val="808080"/>
                <w:sz w:val="13"/>
              </w:rPr>
              <w:t>[via Art. 33, ponto (iii)]</w:t>
            </w:r>
          </w:p>
          <w:p>
            <w:pPr>
              <w:spacing w:before="0" w:after="0"/>
            </w:pPr>
            <w:r>
              <w:rPr>
                <w:color w:val="303030"/>
                <w:sz w:val="14"/>
              </w:rPr>
              <w:t>1. Operators of breeding establishments shall ensure that their breeding strategies minimise the risk of producing dogs or cats with genotypes associated with effects detrimental to the health and welfare of those animals.</w:t>
            </w:r>
          </w:p>
          <w:p>
            <w:pPr>
              <w:spacing w:before="50" w:after="20"/>
            </w:pPr>
            <w:r>
              <w:rPr>
                <w:b/>
                <w:color w:val="1F4E79"/>
                <w:sz w:val="13"/>
              </w:rPr>
              <w:t>▸ Prazo [Art. 33, ponto (iii)]:</w:t>
            </w:r>
          </w:p>
          <w:p>
            <w:pPr>
              <w:spacing w:before="0" w:after="0"/>
            </w:pPr>
            <w:r>
              <w:rPr>
                <w:i/>
                <w:color w:val="1F4E79"/>
                <w:sz w:val="14"/>
              </w:rPr>
              <w:t>Article 8(1) shall apply from 1 July 2036.</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8(2)</w:t>
              <w:br/>
            </w:r>
            <w:r>
              <w:rPr>
                <w:i/>
                <w:color w:val="808080"/>
                <w:sz w:val="13"/>
              </w:rPr>
              <w:t>[via Art. 33, ponto (iii)]</w:t>
            </w:r>
          </w:p>
          <w:p>
            <w:pPr>
              <w:spacing w:before="0" w:after="0"/>
            </w:pPr>
            <w:r>
              <w:rPr>
                <w:color w:val="303030"/>
                <w:sz w:val="14"/>
              </w:rPr>
              <w:t>2. Operators of breeding establishments shall not use for reproduction dogs or cats that have excessive conformational traits leading to a high risk of detrimental effects on the welfare of such dogs or cats, or of their offspring. Before selecting a dog or cat that might have an excessive conformational trait for breeding, the operator shall consult a veterinarian or an independent qualified person acting under the responsibility of a veterinarian. That veterinarian or independent qualified person shall assess whether the dog or cat has an excessive conformational trait.</w:t>
            </w:r>
          </w:p>
          <w:p>
            <w:pPr>
              <w:spacing w:before="50" w:after="20"/>
            </w:pPr>
            <w:r>
              <w:rPr>
                <w:b/>
                <w:color w:val="1F4E79"/>
                <w:sz w:val="13"/>
              </w:rPr>
              <w:t>▸ Prazo [Art. 33, ponto (iii)]:</w:t>
            </w:r>
          </w:p>
          <w:p>
            <w:pPr>
              <w:spacing w:before="0" w:after="0"/>
            </w:pPr>
            <w:r>
              <w:rPr>
                <w:i/>
                <w:color w:val="1F4E79"/>
                <w:sz w:val="14"/>
              </w:rPr>
              <w:t>Article 8(2) shall apply from 1 July 2030.</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12(2)(3)</w:t>
              <w:br/>
            </w:r>
            <w:r>
              <w:rPr>
                <w:i/>
                <w:color w:val="808080"/>
                <w:sz w:val="13"/>
              </w:rPr>
              <w:t>[via Art. 33, ponto (v)]</w:t>
            </w:r>
          </w:p>
          <w:p>
            <w:pPr>
              <w:spacing w:before="0" w:after="0"/>
            </w:pPr>
            <w:r>
              <w:rPr>
                <w:color w:val="303030"/>
                <w:sz w:val="14"/>
              </w:rPr>
              <w:t>2. The competences referred to in paragraph 1 may be acquired through education, training or professional experience. Only documented education, training or professional experience shall be taken into account when determining whether an animal carer has the competences referred to in paragraph 1.</w:t>
            </w:r>
          </w:p>
          <w:p>
            <w:pPr>
              <w:spacing w:before="0" w:after="0"/>
            </w:pPr>
            <w:r>
              <w:rPr>
                <w:color w:val="303030"/>
                <w:sz w:val="14"/>
              </w:rPr>
              <w:t>3. Operators shall ensure that at least one animal carer, other than a volunteer or intern, at the establishment has completed the training courses referred to in Article 22. Operators shall ensure that that animal carer transfers his or her knowledge to the other animal carers of the establishment.</w:t>
            </w:r>
          </w:p>
          <w:p>
            <w:pPr>
              <w:spacing w:before="50" w:after="20"/>
            </w:pPr>
            <w:r>
              <w:rPr>
                <w:b/>
                <w:color w:val="1F4E79"/>
                <w:sz w:val="13"/>
              </w:rPr>
              <w:t>▸ Prazo [Art. 33, ponto (v)]:</w:t>
            </w:r>
          </w:p>
          <w:p>
            <w:pPr>
              <w:spacing w:before="0" w:after="0"/>
            </w:pPr>
            <w:r>
              <w:rPr>
                <w:i/>
                <w:color w:val="1F4E79"/>
                <w:sz w:val="14"/>
              </w:rPr>
              <w:t>Article 12(2) and (3) shall apply from … [seven years from the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12(4)</w:t>
            </w:r>
          </w:p>
          <w:p>
            <w:pPr>
              <w:spacing w:before="0" w:after="60"/>
            </w:pPr>
            <w:r>
              <w:rPr>
                <w:color w:val="303030"/>
                <w:sz w:val="14"/>
              </w:rPr>
              <w:t>4. The Commission shall adopt implementing acts, laying down minimum requirements concerning the formal education, training or professional experience referred to in paragraph 2 of this Article necessary to determine whether an animal carer has the competences referred to in paragraph 1 and for the training courses referred to in paragraph 3. The implementing act concerning the training courses referred to in paragraph 3 shall be adopted by ... [3 years from the date of entry into force of this Regulation]. Those implementing acts shall be adopted in accordance with the examination procedure referred to in Article 29.</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13(1)(a)</w:t>
            </w:r>
          </w:p>
          <w:p>
            <w:pPr>
              <w:spacing w:before="0" w:after="0"/>
            </w:pPr>
            <w:r>
              <w:rPr>
                <w:color w:val="303030"/>
                <w:sz w:val="14"/>
              </w:rPr>
              <w:t>1. Operators shall:</w:t>
            </w:r>
          </w:p>
          <w:p>
            <w:pPr>
              <w:spacing w:before="0" w:after="60"/>
            </w:pPr>
            <w:r>
              <w:rPr>
                <w:color w:val="303030"/>
                <w:sz w:val="14"/>
              </w:rPr>
              <w:t>(a) 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notification of the new establishment, and thereafter when appropriate, based on a risk analysis by the competent authorities, or on an annual basis if Member States so provide in their national law;</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13(2)</w:t>
            </w:r>
          </w:p>
          <w:p>
            <w:pPr>
              <w:spacing w:before="0" w:after="60"/>
            </w:pPr>
            <w:r>
              <w:rPr>
                <w:color w:val="303030"/>
                <w:sz w:val="14"/>
              </w:rPr>
              <w:t>2. By ... [date 24 months from the date of entry into force of this Regulation], the Commission shall adopt delegated acts in accordance with Article 28 supplementing this Article by laying down the minimum criteria to be assessed by the veterinarian during the advisory welfare visit.</w:t>
            </w: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16</w:t>
              <w:br/>
            </w:r>
            <w:r>
              <w:rPr>
                <w:i/>
                <w:color w:val="808080"/>
                <w:sz w:val="13"/>
              </w:rPr>
              <w:t>[via Art. 33, ponto (i)]</w:t>
            </w:r>
          </w:p>
          <w:p>
            <w:pPr>
              <w:spacing w:before="0" w:after="0"/>
            </w:pPr>
            <w:r>
              <w:rPr>
                <w:color w:val="303030"/>
                <w:sz w:val="14"/>
              </w:rPr>
              <w:t>1. Operators shall ensure that:</w:t>
            </w:r>
          </w:p>
          <w:p>
            <w:pPr>
              <w:spacing w:before="0" w:after="0"/>
            </w:pPr>
            <w:r>
              <w:rPr>
                <w:color w:val="303030"/>
                <w:sz w:val="14"/>
              </w:rPr>
              <w:t>(a) dogs or cats for which they are responsible are inspected by animal carers at least once a day and that vulnerable dogs and cats, such as newborns, ill or injured dogs and cats, and peri-partum bitches and queens, are inspected more frequently;</w:t>
            </w:r>
          </w:p>
          <w:p>
            <w:pPr>
              <w:spacing w:before="0" w:after="0"/>
            </w:pPr>
            <w:r>
              <w:rPr>
                <w:color w:val="303030"/>
                <w:sz w:val="14"/>
              </w:rPr>
              <w:t>(b) dogs or cats with compromised welfare are, where necessary, transferred without undue delay to a separate area and, where necessary, receive appropriate treatment;</w:t>
            </w:r>
          </w:p>
          <w:p>
            <w:pPr>
              <w:spacing w:before="0" w:after="0"/>
            </w:pPr>
            <w:r>
              <w:rPr>
                <w:color w:val="303030"/>
                <w:sz w:val="14"/>
              </w:rPr>
              <w:t>(c) 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p>
            <w:pPr>
              <w:spacing w:before="0" w:after="0"/>
            </w:pPr>
            <w:r>
              <w:rPr>
                <w:color w:val="303030"/>
                <w:sz w:val="14"/>
              </w:rPr>
              <w:t>(d) measures are taken to prevent and control external and internal parasites, and vaccinations are carried out to prevent common diseases to which dogs or cats are likely to be exposed;</w:t>
            </w:r>
          </w:p>
          <w:p>
            <w:pPr>
              <w:spacing w:before="0" w:after="0"/>
            </w:pPr>
            <w:r>
              <w:rPr>
                <w:color w:val="303030"/>
                <w:sz w:val="14"/>
              </w:rPr>
              <w:t>(e) enrichments that are used do not present a significant risk to dogs and cats of injury or biological or chemical contamination or any other health risk.</w:t>
            </w:r>
          </w:p>
          <w:p>
            <w:pPr>
              <w:spacing w:before="0" w:after="0"/>
            </w:pPr>
            <w:r>
              <w:rPr>
                <w:color w:val="303030"/>
                <w:sz w:val="14"/>
              </w:rPr>
              <w:t>2. Operators of breeding establishments shall ensure that:</w:t>
            </w:r>
          </w:p>
          <w:p>
            <w:pPr>
              <w:spacing w:before="0" w:after="0"/>
            </w:pPr>
            <w:r>
              <w:rPr>
                <w:color w:val="303030"/>
                <w:sz w:val="14"/>
              </w:rPr>
              <w:t>(a) measures are taken to safeguard the health of dogs or cats in accordance with point 3 of Annex I;</w:t>
            </w:r>
          </w:p>
          <w:p>
            <w:pPr>
              <w:spacing w:before="0" w:after="0"/>
            </w:pPr>
            <w:r>
              <w:rPr>
                <w:color w:val="303030"/>
                <w:sz w:val="14"/>
              </w:rPr>
              <w:t>(b) bitches or queens are bred only if they have reached a minimum age and skeletal maturity in accordance with point 3 of Annex I, and only if they have no diagnosed disease, clinical sign of diseases or physical conditions which could negatively impact their pregnancy and welfare;</w:t>
            </w:r>
          </w:p>
          <w:p>
            <w:pPr>
              <w:spacing w:before="0" w:after="0"/>
            </w:pPr>
            <w:r>
              <w:rPr>
                <w:color w:val="303030"/>
                <w:sz w:val="14"/>
              </w:rPr>
              <w:t>(c) the litter-giving pregnancies of bitches or queens follows a maximum frequency in accordance with point 3 of Annex I;</w:t>
            </w:r>
          </w:p>
          <w:p>
            <w:pPr>
              <w:spacing w:before="0" w:after="0"/>
            </w:pPr>
            <w:r>
              <w:rPr>
                <w:color w:val="303030"/>
                <w:sz w:val="14"/>
              </w:rPr>
              <w:t>(d) lactating queens are not mated or inseminated;</w:t>
            </w:r>
          </w:p>
          <w:p>
            <w:pPr>
              <w:spacing w:before="0" w:after="0"/>
            </w:pPr>
            <w:r>
              <w:rPr>
                <w:color w:val="303030"/>
                <w:sz w:val="14"/>
              </w:rPr>
              <w:t>(e) dogs and cats which are no longer used for reproduction, including as a result of the provisions of this Regulation, are either kept or sold, donated or rehomed, and not killed or abandoned.</w:t>
            </w:r>
          </w:p>
          <w:p>
            <w:pPr>
              <w:spacing w:before="50" w:after="20"/>
            </w:pPr>
            <w:r>
              <w:rPr>
                <w:b/>
                <w:color w:val="1F4E79"/>
                <w:sz w:val="13"/>
              </w:rPr>
              <w:t>▸ Prazo [Art. 33, ponto (i)]:</w:t>
            </w:r>
          </w:p>
          <w:p>
            <w:pPr>
              <w:spacing w:before="0" w:after="0"/>
            </w:pPr>
            <w:r>
              <w:rPr>
                <w:i/>
                <w:color w:val="1F4E79"/>
                <w:sz w:val="14"/>
              </w:rPr>
              <w:t>Article 16 shall apply from … [three years from the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2 — Identificação e Rastreabilidade</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20(2)</w:t>
            </w:r>
          </w:p>
          <w:p>
            <w:pPr>
              <w:spacing w:before="0" w:after="0"/>
            </w:pPr>
            <w:r>
              <w:rPr>
                <w:color w:val="303030"/>
                <w:sz w:val="14"/>
              </w:rPr>
              <w:t>2. Operators shall ensure that dogs and cats born in their establishments are individually identified within three months after their birth, and in any event before the date that they are placed on the market.</w:t>
            </w:r>
          </w:p>
          <w:p>
            <w:pPr>
              <w:spacing w:before="0" w:after="0"/>
            </w:pPr>
            <w:r>
              <w:rPr>
                <w:color w:val="303030"/>
                <w:sz w:val="14"/>
              </w:rPr>
              <w:t>Operators of selling establishments and shelters, and operators who place and are responsible for dogs and cats in foster homes shall ensure that dogs and cats that enter their establishments or come under their responsibility are individually identified within 30 days of arrival and in any event before the date of their placing on the market.</w:t>
            </w:r>
          </w:p>
          <w:p>
            <w:pPr>
              <w:spacing w:before="0" w:after="0"/>
            </w:pPr>
            <w:r>
              <w:rPr>
                <w:color w:val="303030"/>
                <w:sz w:val="14"/>
              </w:rPr>
              <w:t>Pet owners and any other natural or legal persons other than operators who own dogs or cats, shall ensure that every dog or cat is individually identified at the latest when it reaches the age of three months or, if the dog or cat is placed on the market, before the date of that placing on the market.</w:t>
            </w:r>
          </w:p>
          <w:p>
            <w:pPr>
              <w:spacing w:before="0" w:after="0"/>
            </w:pPr>
            <w:r>
              <w:rPr>
                <w:color w:val="303030"/>
                <w:sz w:val="14"/>
              </w:rPr>
              <w:t>The implantation of the transponder shall be performed by a veterinarian. Member States may allow the implantation of transponders by persons other than veterinarians provided that they adopt national rules laying down the minimum qualifications that such persons are required to have.</w:t>
            </w:r>
          </w:p>
          <w:p>
            <w:pPr>
              <w:spacing w:before="0" w:after="60"/>
            </w:pPr>
            <w:r>
              <w:rPr>
                <w:color w:val="303030"/>
                <w:sz w:val="14"/>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20(7)(a)</w:t>
            </w:r>
          </w:p>
          <w:p>
            <w:pPr>
              <w:spacing w:before="0" w:after="0"/>
            </w:pPr>
            <w:r>
              <w:rPr>
                <w:color w:val="303030"/>
                <w:sz w:val="14"/>
              </w:rPr>
              <w:t>7. The identification and registration requirements of this Article shall apply as follows:</w:t>
            </w:r>
          </w:p>
          <w:p>
            <w:pPr>
              <w:spacing w:before="0" w:after="60"/>
            </w:pPr>
            <w:r>
              <w:rPr>
                <w:color w:val="303030"/>
                <w:sz w:val="14"/>
              </w:rPr>
              <w:t>(a) for operators and natural or legal persons placing dogs and cats on the market from ... [4 years from the entry into force of this Regulation];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20(7)(b)</w:t>
            </w:r>
          </w:p>
          <w:p>
            <w:pPr>
              <w:spacing w:before="0" w:after="60"/>
            </w:pPr>
            <w:r>
              <w:rPr>
                <w:color w:val="303030"/>
                <w:sz w:val="14"/>
              </w:rPr>
              <w:t>(b) for pet owners and other natural or legal persons other than operators, who do not place dogs on the market: from … [10 years from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20(7)(c)</w:t>
            </w:r>
          </w:p>
          <w:p>
            <w:pPr>
              <w:spacing w:before="0" w:after="60"/>
            </w:pPr>
            <w:r>
              <w:rPr>
                <w:color w:val="303030"/>
                <w:sz w:val="14"/>
              </w:rPr>
              <w:t>(c) for pet owners and other natural or legal persons other than operators, who do not place cats on the market: from … [15 years from entry into force of this Regulation].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3 — Bases de Dados e Publicidade Online</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21(3)</w:t>
              <w:br/>
            </w:r>
            <w:r>
              <w:rPr>
                <w:i/>
                <w:color w:val="808080"/>
                <w:sz w:val="13"/>
              </w:rPr>
              <w:t>[via Art. 33, ponto (ii)]</w:t>
            </w:r>
          </w:p>
          <w:p>
            <w:pPr>
              <w:spacing w:before="0" w:after="0"/>
            </w:pPr>
            <w:r>
              <w:rPr>
                <w:color w:val="303030"/>
                <w:sz w:val="14"/>
              </w:rPr>
              <w:t>3. When placing a dog or a cat on the market in the Union, the natural or legal person placing the dog or cat on the market shall provide the acquirer with:</w:t>
            </w:r>
          </w:p>
          <w:p>
            <w:pPr>
              <w:spacing w:before="0" w:after="0"/>
            </w:pPr>
            <w:r>
              <w:rPr>
                <w:color w:val="303030"/>
                <w:sz w:val="14"/>
              </w:rPr>
              <w:t>(a) proof of the identification and registration of the dog or cat in compliance with Article 20;</w:t>
            </w:r>
          </w:p>
          <w:p>
            <w:pPr>
              <w:spacing w:before="0" w:after="0"/>
            </w:pPr>
            <w:r>
              <w:rPr>
                <w:color w:val="303030"/>
                <w:sz w:val="14"/>
              </w:rPr>
              <w:t>(b) the following information on the dog or cat:</w:t>
            </w:r>
          </w:p>
          <w:p>
            <w:pPr>
              <w:spacing w:before="0" w:after="0"/>
            </w:pPr>
            <w:r>
              <w:rPr>
                <w:color w:val="303030"/>
                <w:sz w:val="14"/>
              </w:rPr>
              <w:t>(i) its species;</w:t>
            </w:r>
          </w:p>
          <w:p>
            <w:pPr>
              <w:spacing w:before="0" w:after="0"/>
            </w:pPr>
            <w:r>
              <w:rPr>
                <w:color w:val="303030"/>
                <w:sz w:val="14"/>
              </w:rPr>
              <w:t>(ii) its sex;</w:t>
            </w:r>
          </w:p>
          <w:p>
            <w:pPr>
              <w:spacing w:before="0" w:after="0"/>
            </w:pPr>
            <w:r>
              <w:rPr>
                <w:color w:val="303030"/>
                <w:sz w:val="14"/>
              </w:rPr>
              <w:t>(iii) its date and country of birth; and</w:t>
            </w:r>
          </w:p>
          <w:p>
            <w:pPr>
              <w:spacing w:before="0" w:after="0"/>
            </w:pPr>
            <w:r>
              <w:rPr>
                <w:color w:val="303030"/>
                <w:sz w:val="14"/>
              </w:rPr>
              <w:t>(iv) where relevant, its breed.</w:t>
            </w:r>
          </w:p>
          <w:p>
            <w:pPr>
              <w:spacing w:before="0" w:after="0"/>
            </w:pPr>
            <w:r>
              <w:rPr>
                <w:color w:val="303030"/>
                <w:sz w:val="14"/>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pPr>
              <w:spacing w:before="0" w:after="0"/>
            </w:pPr>
            <w:r>
              <w:rPr>
                <w:color w:val="303030"/>
                <w:sz w:val="14"/>
              </w:rPr>
              <w:t>The system referred to in paragraph 5 shall enable acquirers to verify the authenticity of the identification, registration and ownership of dogs or cats advertised online.</w:t>
            </w:r>
          </w:p>
          <w:p>
            <w:pPr>
              <w:spacing w:before="50" w:after="20"/>
            </w:pPr>
            <w:r>
              <w:rPr>
                <w:b/>
                <w:color w:val="1F4E79"/>
                <w:sz w:val="13"/>
              </w:rPr>
              <w:t>▸ Prazo [Art. 33, ponto (ii)]:</w:t>
            </w:r>
          </w:p>
          <w:p>
            <w:pPr>
              <w:spacing w:before="0" w:after="0"/>
            </w:pPr>
            <w:r>
              <w:rPr>
                <w:i/>
                <w:color w:val="1F4E79"/>
                <w:sz w:val="14"/>
              </w:rPr>
              <w:t>Article 21(3) and Article 23(1) shall apply from … [four years from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21(6)(a)</w:t>
            </w:r>
          </w:p>
          <w:p>
            <w:pPr>
              <w:spacing w:before="0" w:after="0"/>
            </w:pPr>
            <w:r>
              <w:rPr>
                <w:color w:val="303030"/>
                <w:sz w:val="14"/>
              </w:rPr>
              <w:t>6. The Commission shall adopt implementing acts laying down:</w:t>
            </w:r>
          </w:p>
          <w:p>
            <w:pPr>
              <w:spacing w:before="0" w:after="0"/>
            </w:pPr>
            <w:r>
              <w:rPr>
                <w:color w:val="303030"/>
                <w:sz w:val="14"/>
              </w:rPr>
              <w:t>(a) the information to be provided by natural and legal persons placing dogs or cats on the market as proof of identification and registration of the dogs and cats in accordance with point (a) of paragraph 3;</w:t>
            </w:r>
          </w:p>
          <w:p>
            <w:pPr>
              <w:spacing w:before="0" w:after="60"/>
            </w:pPr>
            <w:r>
              <w:rPr>
                <w:color w:val="303030"/>
                <w:sz w:val="14"/>
              </w:rPr>
              <w:t>The implementing acts referred to in point (a) shall be adopted by ... [two years after the date of entry into force of this Regulation] and the implementing act referred to in points (b) and (c) shall be adopted by ... [three years from date of entry into force of this Regulation]. Those implementing acts shall be adopted in accordance with the examination procedure referred to in Article 29.</w:t>
            </w: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21(6)(b)(c)</w:t>
            </w:r>
          </w:p>
          <w:p>
            <w:pPr>
              <w:spacing w:before="0" w:after="0"/>
            </w:pPr>
            <w:r>
              <w:rPr>
                <w:color w:val="303030"/>
                <w:sz w:val="14"/>
              </w:rPr>
              <w:t>(b) the information to be provided by natural and legal persons advertising dogs or cats to the verification system referred to in paragraph 5 for the purpose of demonstrating the authenticity of the identification, registration and ownership of the dog or cat advertised.</w:t>
            </w:r>
          </w:p>
          <w:p>
            <w:pPr>
              <w:spacing w:before="0" w:after="0"/>
            </w:pPr>
            <w:r>
              <w:rPr>
                <w:color w:val="303030"/>
                <w:sz w:val="14"/>
              </w:rPr>
              <w:t>(c) the following characteristics of the system referred to in paragraph 5:</w:t>
            </w:r>
          </w:p>
          <w:p>
            <w:pPr>
              <w:spacing w:before="0" w:after="0"/>
            </w:pPr>
            <w:r>
              <w:rPr>
                <w:color w:val="303030"/>
                <w:sz w:val="14"/>
              </w:rPr>
              <w:t>— the key functions of the system;</w:t>
            </w:r>
          </w:p>
          <w:p>
            <w:pPr>
              <w:spacing w:before="0" w:after="0"/>
            </w:pPr>
            <w:r>
              <w:rPr>
                <w:color w:val="303030"/>
                <w:sz w:val="14"/>
              </w:rPr>
              <w:t>— the technical, electronic and cryptographic requirements for the system;</w:t>
            </w:r>
          </w:p>
          <w:p>
            <w:pPr>
              <w:spacing w:before="0" w:after="0"/>
            </w:pPr>
            <w:r>
              <w:rPr>
                <w:color w:val="303030"/>
                <w:sz w:val="14"/>
              </w:rPr>
              <w:t>— the procedural steps to be followed, and the information to be provided, by the natural or legal person placing the dog or cat on the market, and the steps and information required of the acquirer, in order for the online verification system to work.</w:t>
            </w:r>
          </w:p>
          <w:p>
            <w:pPr>
              <w:spacing w:before="0" w:after="60"/>
            </w:pPr>
            <w:r>
              <w:rPr>
                <w:color w:val="303030"/>
                <w:sz w:val="14"/>
              </w:rPr>
              <w:t>The implementing act referred to in points (b) and (c) shall be adopted by ... [three years from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23(1)</w:t>
              <w:br/>
            </w:r>
            <w:r>
              <w:rPr>
                <w:i/>
                <w:color w:val="808080"/>
                <w:sz w:val="13"/>
              </w:rPr>
              <w:t>[via Art. 33, ponto (ii)]</w:t>
            </w:r>
          </w:p>
          <w:p>
            <w:pPr>
              <w:spacing w:before="0" w:after="0"/>
            </w:pPr>
            <w:r>
              <w:rPr>
                <w:color w:val="303030"/>
                <w:sz w:val="14"/>
              </w:rPr>
              <w:t>1. Member States shall be responsible for establishing and maintaining databases for the registration of identified dogs and cats in accordance with Article 20(1) and (2) and Article 26(3) and Article 26(4), second subparagraph.</w:t>
            </w:r>
          </w:p>
          <w:p>
            <w:pPr>
              <w:spacing w:before="50" w:after="20"/>
            </w:pPr>
            <w:r>
              <w:rPr>
                <w:b/>
                <w:color w:val="1F4E79"/>
                <w:sz w:val="13"/>
              </w:rPr>
              <w:t>▸ Prazo [Art. 33, ponto (ii)]:</w:t>
            </w:r>
          </w:p>
          <w:p>
            <w:pPr>
              <w:spacing w:before="0" w:after="0"/>
            </w:pPr>
            <w:r>
              <w:rPr>
                <w:i/>
                <w:color w:val="1F4E79"/>
                <w:sz w:val="14"/>
              </w:rPr>
              <w:t>Article 21(3) and Article 23(1) shall apply from … [four years from entry into force of this Regulation].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23(4), second subparagraph,</w:t>
              <w:br/>
            </w:r>
            <w:r>
              <w:rPr>
                <w:i/>
                <w:color w:val="808080"/>
                <w:sz w:val="13"/>
              </w:rPr>
              <w:t>pontos (a)(c)</w:t>
            </w:r>
          </w:p>
          <w:p>
            <w:pPr>
              <w:spacing w:before="0" w:after="0"/>
            </w:pPr>
            <w:r>
              <w:rPr>
                <w:color w:val="303030"/>
                <w:sz w:val="14"/>
              </w:rPr>
              <w:t>4. The Commission shall establish and maintain an index database containing the minimum set of fields laid down in the implementing acts referred to in subparagraph 2, point (b). […] The Commission shall adopt implementing acts laying down detailed arrangements concerning:</w:t>
            </w:r>
          </w:p>
          <w:p>
            <w:pPr>
              <w:spacing w:before="0" w:after="0"/>
            </w:pPr>
            <w:r>
              <w:rPr>
                <w:color w:val="303030"/>
                <w:sz w:val="14"/>
              </w:rPr>
              <w:t>(a) the minimum content of the databases referred to in paragraph 1;</w:t>
            </w:r>
          </w:p>
          <w:p>
            <w:pPr>
              <w:spacing w:before="0" w:after="0"/>
            </w:pPr>
            <w:r>
              <w:rPr>
                <w:color w:val="303030"/>
                <w:sz w:val="14"/>
              </w:rPr>
              <w:t>(b) the interoperability between Member States' databases and the index database, including the minimum set of fields to be transmitted to the index database and the intervals of the transmission;</w:t>
            </w:r>
          </w:p>
          <w:p>
            <w:pPr>
              <w:spacing w:before="0" w:after="0"/>
            </w:pPr>
            <w:r>
              <w:rPr>
                <w:color w:val="303030"/>
                <w:sz w:val="14"/>
              </w:rPr>
              <w:t>(c) the functionality for providing proof of the identification and registration of a dog or a cat, as referred to in Article 21(3) point (a);</w:t>
            </w:r>
          </w:p>
          <w:p>
            <w:pPr>
              <w:spacing w:before="0" w:after="0"/>
            </w:pPr>
            <w:r>
              <w:rPr>
                <w:color w:val="303030"/>
                <w:sz w:val="14"/>
              </w:rPr>
              <w:t>(d) the registry where Member States will declare their databases, and the necessary parameters for connecting those databases with one another in accordance with the provisions established pursuant to point (b);</w:t>
            </w:r>
          </w:p>
          <w:p>
            <w:pPr>
              <w:spacing w:before="0" w:after="0"/>
            </w:pPr>
            <w:r>
              <w:rPr>
                <w:color w:val="303030"/>
                <w:sz w:val="14"/>
              </w:rPr>
              <w:t>(e) the interconnection between the Member States' databases referred to in paragraph 1, the pet travellers' database referred to in Article 26, paragraph 4, and the Information Management System for Official Controls (IMSOC), where relevant.</w:t>
            </w:r>
          </w:p>
          <w:p>
            <w:pPr>
              <w:spacing w:before="0" w:after="60"/>
            </w:pPr>
            <w:r>
              <w:rPr>
                <w:color w:val="303030"/>
                <w:sz w:val="14"/>
              </w:rPr>
              <w:t>The Commission shall adopt the implementing acts referred to in the second subparagraph, points (a) and (c) by ... [date two years after the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23(4), second subparagraph,</w:t>
              <w:br/>
            </w:r>
            <w:r>
              <w:rPr>
                <w:i/>
                <w:color w:val="808080"/>
                <w:sz w:val="13"/>
              </w:rPr>
              <w:t>pontos (b)(d)(e)</w:t>
            </w:r>
          </w:p>
          <w:p>
            <w:pPr>
              <w:spacing w:before="0" w:after="60"/>
            </w:pPr>
            <w:r>
              <w:rPr>
                <w:color w:val="303030"/>
                <w:sz w:val="14"/>
              </w:rPr>
              <w:t>It shall adopt the implementing acts referred to in the second subparagraph, points (b), (d) and (e) by ... [three years from the date of entry into force of this Regulation]. Those implementing acts shall be adopted in accordance with the examination procedure referred to in Article 29.</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4 — Detenção Responsável e Formação</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15</w:t>
              <w:br/>
            </w:r>
            <w:r>
              <w:rPr>
                <w:i/>
                <w:color w:val="808080"/>
                <w:sz w:val="13"/>
              </w:rPr>
              <w:t>[via Art. 33, ponto (iv)]</w:t>
            </w:r>
          </w:p>
          <w:p>
            <w:pPr>
              <w:spacing w:before="0" w:after="0"/>
            </w:pPr>
            <w:r>
              <w:rPr>
                <w:color w:val="303030"/>
                <w:sz w:val="14"/>
              </w:rPr>
              <w:t>1. The operators of breeding and selling establishments shall ensure that dogs and cats are housed in accordance with point 2 of Annex I. The operators of shelters shall ensure that dogs and cats are housed in accordance with point 2.2 of Annex I.</w:t>
            </w:r>
          </w:p>
          <w:p>
            <w:pPr>
              <w:spacing w:before="0" w:after="0"/>
            </w:pPr>
            <w:r>
              <w:rPr>
                <w:color w:val="303030"/>
                <w:sz w:val="14"/>
              </w:rPr>
              <w:t>2. Operators shall ensure that:</w:t>
            </w:r>
          </w:p>
          <w:p>
            <w:pPr>
              <w:spacing w:before="0" w:after="0"/>
            </w:pPr>
            <w:r>
              <w:rPr>
                <w:color w:val="303030"/>
                <w:sz w:val="14"/>
              </w:rPr>
              <w:t>(a) the establishments where dogs or cats are kept and the equipment used therein are suitable for the types and the number of dogs or cats, and make possible the necessary access to, and the thorough inspection of, all dogs or cats;</w:t>
            </w:r>
          </w:p>
          <w:p>
            <w:pPr>
              <w:spacing w:before="0" w:after="0"/>
            </w:pPr>
            <w:r>
              <w:rPr>
                <w:color w:val="303030"/>
                <w:sz w:val="14"/>
              </w:rPr>
              <w:t>(b) all building components of the establishment, including the flooring and roof, and space divisions, as well as the equipment used for dogs or cats, are constructed and maintained properly, to ensure that they do not pose any risks to the welfare of the dogs or cats;</w:t>
            </w:r>
          </w:p>
          <w:p>
            <w:pPr>
              <w:spacing w:before="0" w:after="0"/>
            </w:pPr>
            <w:r>
              <w:rPr>
                <w:color w:val="303030"/>
                <w:sz w:val="14"/>
              </w:rPr>
              <w:t>(c) all building components of the establishment, including the flooring, and space divisions, as well as the equipment used for dogs or cats, are kept clean to ensure that they do not pose any risks to the welfare of the dogs or cats;</w:t>
            </w:r>
          </w:p>
          <w:p>
            <w:pPr>
              <w:spacing w:before="0" w:after="0"/>
            </w:pPr>
            <w:r>
              <w:rPr>
                <w:color w:val="303030"/>
                <w:sz w:val="14"/>
              </w:rPr>
              <w:t>(d) in breeding and selling establishments where dogs or cats are kept indoors, the dust levels, the temperature, and the relative air humidity and gas concentrations are not harmful to dogs or cats and that ventilation is sufficient to avoid overheating;</w:t>
            </w:r>
          </w:p>
          <w:p>
            <w:pPr>
              <w:spacing w:before="0" w:after="0"/>
            </w:pPr>
            <w:r>
              <w:rPr>
                <w:color w:val="303030"/>
                <w:sz w:val="14"/>
              </w:rPr>
              <w:t>(e) dogs or cats have enough space to be able to move around freely and to express species-specific behaviour according to their needs with the possibility to withdraw and rest;</w:t>
            </w:r>
          </w:p>
          <w:p>
            <w:pPr>
              <w:spacing w:before="0" w:after="0"/>
            </w:pPr>
            <w:r>
              <w:rPr>
                <w:color w:val="303030"/>
                <w:sz w:val="14"/>
              </w:rPr>
              <w:t>(f) dogs or cats have clean, comfortable and dry resting places that are sufficiently large and numerous to ensure that all of them can lie down and rest in a natural position at the same time;</w:t>
            </w:r>
          </w:p>
          <w:p>
            <w:pPr>
              <w:spacing w:before="0" w:after="0"/>
            </w:pPr>
            <w:r>
              <w:rPr>
                <w:color w:val="303030"/>
                <w:sz w:val="14"/>
              </w:rPr>
              <w:t>(g) appropriate structures and measures are in place for dogs or cats that are kept outdoors in order to protect them from adverse weather conditions, including to prevent thermal stress, sunburn and frostbite.</w:t>
            </w:r>
          </w:p>
          <w:p>
            <w:pPr>
              <w:spacing w:before="0" w:after="0"/>
            </w:pPr>
            <w:r>
              <w:rPr>
                <w:color w:val="303030"/>
                <w:sz w:val="14"/>
              </w:rPr>
              <w:t>3. Operators shall not keep dogs or cats in containers. However, containers may be used for transportation, for the short term isolation of individual dogs or cats and for participation in shows, exhibitions and competitions, for puppies or kittens with reduced thermoregulation capacity or for puppies or kittens together with their mothers, provided that, for the dogs or cats concerned, stress is minimised and suffering is avoided, and they are able to stand, turn around and lie down in a natural position.</w:t>
            </w:r>
          </w:p>
          <w:p>
            <w:pPr>
              <w:spacing w:before="0" w:after="0"/>
            </w:pPr>
            <w:r>
              <w:rPr>
                <w:color w:val="303030"/>
                <w:sz w:val="14"/>
              </w:rPr>
              <w:t>4. Operators shall not keep dogs older than 8 weeks exclusively indoors. Such dogs shall have daily access to an outdoor area, or be walked daily, to allow exercise, exploration and socialisation. The minimum combined duration of such daily access or walk shall be one hour in total. The operator may only deviate from these requirements based on the written advice of a veterinarian.</w:t>
            </w:r>
          </w:p>
          <w:p>
            <w:pPr>
              <w:spacing w:before="0" w:after="0"/>
            </w:pPr>
            <w:r>
              <w:rPr>
                <w:color w:val="303030"/>
                <w:sz w:val="14"/>
              </w:rPr>
              <w:t>5. When cats are kept in catteries, operators shall design and construct individual enclosures to allow cats to move around freely and to exhibit their natural behaviour.</w:t>
            </w:r>
          </w:p>
          <w:p>
            <w:pPr>
              <w:spacing w:before="0" w:after="0"/>
            </w:pPr>
            <w:r>
              <w:rPr>
                <w:color w:val="303030"/>
                <w:sz w:val="14"/>
              </w:rPr>
              <w:t>6. Operators of breeding and selling establishments shall ensure that in indoor areas where dogs and cats are kept, an appropriate thermoneutral zone is maintained that takes into account their coat type, age, size, breed, and health.</w:t>
            </w:r>
          </w:p>
          <w:p>
            <w:pPr>
              <w:spacing w:before="0" w:after="0"/>
            </w:pPr>
            <w:r>
              <w:rPr>
                <w:color w:val="303030"/>
                <w:sz w:val="14"/>
              </w:rPr>
              <w:t>7. Operators of breeding and selling establishments shall, where necessary, use heating or cooling systems in the indoor enclosures at their establishments to maintain good air quality and an appropriate temperature and to remove excessive moisture.</w:t>
            </w:r>
          </w:p>
          <w:p>
            <w:pPr>
              <w:spacing w:before="0" w:after="0"/>
            </w:pPr>
            <w:r>
              <w:rPr>
                <w:color w:val="303030"/>
                <w:sz w:val="14"/>
              </w:rPr>
              <w:t>8. Operators shall ensure that dogs or cats are exposed to light, and are able to stay in the dark for sufficient and uninterrupted periods in order to maintain a normal circadian rhythm.</w:t>
            </w:r>
          </w:p>
          <w:p>
            <w:pPr>
              <w:spacing w:before="50" w:after="20"/>
            </w:pPr>
            <w:r>
              <w:rPr>
                <w:b/>
                <w:color w:val="1F4E79"/>
                <w:sz w:val="13"/>
              </w:rPr>
              <w:t>▸ Prazo [Art. 33, ponto (iv)]:</w:t>
            </w:r>
          </w:p>
          <w:p>
            <w:pPr>
              <w:spacing w:before="0" w:after="0"/>
            </w:pPr>
            <w:r>
              <w:rPr>
                <w:i/>
                <w:color w:val="1F4E79"/>
                <w:sz w:val="14"/>
              </w:rPr>
              <w:t>Article 15 … shall apply from … [five years from the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21(3), 2.º parágrafo +</w:t>
              <w:br/>
              <w:br/>
            </w:r>
            <w:r>
              <w:rPr>
                <w:i/>
                <w:color w:val="808080"/>
                <w:sz w:val="13"/>
              </w:rPr>
              <w:t>Art. 21(4)(5)</w:t>
            </w:r>
            <w:r>
              <w:rPr>
                <w:i/>
                <w:color w:val="808080"/>
                <w:sz w:val="13"/>
              </w:rPr>
              <w:t>[via Art. 33, ponto (iv)]</w:t>
            </w:r>
          </w:p>
          <w:p>
            <w:pPr>
              <w:spacing w:before="0" w:after="0"/>
            </w:pPr>
            <w:r>
              <w:rPr>
                <w:color w:val="303030"/>
                <w:sz w:val="14"/>
              </w:rPr>
              <w:t>Art. 21(3), 2.º §: 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 The system referred to in paragraph 5 shall enable acquirers to verify the authenticity of the identification, registration and ownership of dogs or cats advertised online.</w:t>
            </w:r>
          </w:p>
          <w:p>
            <w:pPr>
              <w:spacing w:before="0" w:after="0"/>
            </w:pPr>
            <w:r>
              <w:rPr>
                <w:color w:val="303030"/>
                <w:sz w:val="14"/>
              </w:rPr>
              <w:t>Art. 21(4): 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r>
          </w:p>
          <w:p>
            <w:pPr>
              <w:spacing w:before="0" w:after="0"/>
            </w:pPr>
            <w:r>
              <w:rPr>
                <w:color w:val="303030"/>
                <w:sz w:val="14"/>
              </w:rPr>
              <w:t>Art. 21(5): 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3(2) of this Article.</w:t>
            </w:r>
          </w:p>
          <w:p>
            <w:pPr>
              <w:spacing w:before="50" w:after="20"/>
            </w:pPr>
            <w:r>
              <w:rPr>
                <w:b/>
                <w:color w:val="1F4E79"/>
                <w:sz w:val="13"/>
              </w:rPr>
              <w:t>▸ Prazo [Art. 33, ponto (iv)]:</w:t>
            </w:r>
          </w:p>
          <w:p>
            <w:pPr>
              <w:spacing w:before="0" w:after="0"/>
            </w:pPr>
            <w:r>
              <w:rPr>
                <w:i/>
                <w:color w:val="1F4E79"/>
                <w:sz w:val="14"/>
              </w:rPr>
              <w:t>Article 21(3), second subparagraph, (4) and (5) … shall apply from … [five years from the date of entry into force of this Regulation].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22(1)(a)(b)(c)</w:t>
              <w:br/>
            </w:r>
            <w:r>
              <w:rPr>
                <w:i/>
                <w:color w:val="808080"/>
                <w:sz w:val="13"/>
              </w:rPr>
              <w:t>[via Art. 33, ponto (iv)]</w:t>
            </w:r>
          </w:p>
          <w:p>
            <w:pPr>
              <w:spacing w:before="0" w:after="0"/>
            </w:pPr>
            <w:r>
              <w:rPr>
                <w:color w:val="303030"/>
                <w:sz w:val="14"/>
              </w:rPr>
              <w:t>1. For the purposes of Article 12, the competent authorities shall be responsible for:</w:t>
            </w:r>
          </w:p>
          <w:p>
            <w:pPr>
              <w:spacing w:before="0" w:after="0"/>
            </w:pPr>
            <w:r>
              <w:rPr>
                <w:color w:val="303030"/>
                <w:sz w:val="14"/>
              </w:rPr>
              <w:t>(a) ensuring that training courses are available for animal carers;</w:t>
            </w:r>
          </w:p>
          <w:p>
            <w:pPr>
              <w:spacing w:before="0" w:after="0"/>
            </w:pPr>
            <w:r>
              <w:rPr>
                <w:color w:val="303030"/>
                <w:sz w:val="14"/>
              </w:rPr>
              <w:t>(b) approving the content of the training courses referred to in point (a), in accordance with the minimum requirements laid down by the implementing acts referred to in Article 12(4);</w:t>
            </w:r>
          </w:p>
          <w:p>
            <w:pPr>
              <w:spacing w:before="0" w:after="0"/>
            </w:pPr>
            <w:r>
              <w:rPr>
                <w:color w:val="303030"/>
                <w:sz w:val="14"/>
              </w:rPr>
              <w:t>(c) certifying animal carers who have successfully completed the training courses referred to in point (a).</w:t>
            </w:r>
          </w:p>
          <w:p>
            <w:pPr>
              <w:spacing w:before="0" w:after="0"/>
            </w:pPr>
            <w:r>
              <w:rPr>
                <w:color w:val="303030"/>
                <w:sz w:val="14"/>
              </w:rPr>
              <w:t>The competent authorities may delegate the task referred to in point (c) to providers of training courses.</w:t>
            </w:r>
          </w:p>
          <w:p>
            <w:pPr>
              <w:spacing w:before="50" w:after="20"/>
            </w:pPr>
            <w:r>
              <w:rPr>
                <w:b/>
                <w:color w:val="1F4E79"/>
                <w:sz w:val="13"/>
              </w:rPr>
              <w:t>▸ Prazo [Art. 33, ponto (iv)]:</w:t>
            </w:r>
          </w:p>
          <w:p>
            <w:pPr>
              <w:spacing w:before="0" w:after="0"/>
            </w:pPr>
            <w:r>
              <w:rPr>
                <w:i/>
                <w:color w:val="1F4E79"/>
                <w:sz w:val="14"/>
              </w:rPr>
              <w:t>Article 22(1), points (a), (b) and (c) … shall apply from … [five years from the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23(3)(4)</w:t>
              <w:br/>
            </w:r>
            <w:r>
              <w:rPr>
                <w:i/>
                <w:color w:val="808080"/>
                <w:sz w:val="13"/>
              </w:rPr>
              <w:t>[via Art. 33, ponto (iv)]</w:t>
            </w:r>
          </w:p>
          <w:p>
            <w:pPr>
              <w:spacing w:before="0" w:after="0"/>
            </w:pPr>
            <w:r>
              <w:rPr>
                <w:color w:val="303030"/>
                <w:sz w:val="14"/>
              </w:rPr>
              <w:t>3. Member States shall ensure that their databases, as referred to in paragraph 1, comply with the requirements laid down by the implementing act referred to in paragraph 4, second subparagraph, point (b), to ensure their interoperability.</w:t>
            </w:r>
          </w:p>
          <w:p>
            <w:pPr>
              <w:spacing w:before="0" w:after="0"/>
            </w:pPr>
            <w:r>
              <w:rPr>
                <w:color w:val="303030"/>
                <w:sz w:val="14"/>
              </w:rPr>
              <w:t>4. The Commission shall establish and maintain an index database containing the minimum set of fields laid down in the implementing acts referred to in subparagraph 2, point (b). The Commission may entrust the development, maintenance and operation of that index database to an independent entity, following a public selection process pursuant to the relevant provisions of Title VII of the Regulation (EU, Euratom) 2024/2509.</w:t>
            </w:r>
          </w:p>
          <w:p>
            <w:pPr>
              <w:spacing w:before="50" w:after="20"/>
            </w:pPr>
            <w:r>
              <w:rPr>
                <w:b/>
                <w:color w:val="1F4E79"/>
                <w:sz w:val="13"/>
              </w:rPr>
              <w:t>▸ Prazo [Art. 33, ponto (iv)]:</w:t>
            </w:r>
          </w:p>
          <w:p>
            <w:pPr>
              <w:spacing w:before="0" w:after="0"/>
            </w:pPr>
            <w:r>
              <w:rPr>
                <w:i/>
                <w:color w:val="1F4E79"/>
                <w:sz w:val="14"/>
              </w:rPr>
              <w:t>Article 23(3) and (4) … shall apply from … [five years from the date of entry into force of this Regulation].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5 — Importação e Movimento</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10</w:t>
              <w:br/>
            </w:r>
            <w:r>
              <w:rPr>
                <w:i/>
                <w:color w:val="808080"/>
                <w:sz w:val="13"/>
              </w:rPr>
              <w:t>[via Art. 33, ponto (vi)]</w:t>
            </w:r>
          </w:p>
          <w:p>
            <w:pPr>
              <w:spacing w:before="0" w:after="0"/>
            </w:pPr>
            <w:r>
              <w:rPr>
                <w:color w:val="303030"/>
                <w:sz w:val="14"/>
              </w:rPr>
              <w:t>1. Operators of breeding establishments that either produce or intend to produce more than five litters per calendar year or that keep more than a combined total of five bitches or queens at any given time shall place dogs or cats on the market only after their establishment has been approved by the competent authority.</w:t>
            </w:r>
          </w:p>
          <w:p>
            <w:pPr>
              <w:spacing w:before="0" w:after="0"/>
            </w:pPr>
            <w:r>
              <w:rPr>
                <w:color w:val="303030"/>
                <w:sz w:val="14"/>
              </w:rPr>
              <w:t>2. The competent authority shall perform on-site inspections to verify that the establishment meets the requirements of this Regulation. Member States may allow such inspections to be carried out remotely,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pPr>
              <w:spacing w:before="0" w:after="0"/>
            </w:pPr>
            <w:r>
              <w:rPr>
                <w:color w:val="303030"/>
                <w:sz w:val="14"/>
              </w:rPr>
              <w:t>3. The competent authority shall maintain a publicly available list including the following information for each approved establishment:</w:t>
            </w:r>
          </w:p>
          <w:p>
            <w:pPr>
              <w:spacing w:before="0" w:after="0"/>
            </w:pPr>
            <w:r>
              <w:rPr>
                <w:color w:val="303030"/>
                <w:sz w:val="14"/>
              </w:rPr>
              <w:t>(a) the name, contact details and, where available, the URL of the website of the establishment;</w:t>
            </w:r>
          </w:p>
          <w:p>
            <w:pPr>
              <w:spacing w:before="0" w:after="0"/>
            </w:pPr>
            <w:r>
              <w:rPr>
                <w:color w:val="303030"/>
                <w:sz w:val="14"/>
              </w:rPr>
              <w:t>(b) the address of the establishment;</w:t>
            </w:r>
          </w:p>
          <w:p>
            <w:pPr>
              <w:spacing w:before="0" w:after="0"/>
            </w:pPr>
            <w:r>
              <w:rPr>
                <w:color w:val="303030"/>
                <w:sz w:val="14"/>
              </w:rPr>
              <w:t>(c) the name of the operator;</w:t>
            </w:r>
          </w:p>
          <w:p>
            <w:pPr>
              <w:spacing w:before="0" w:after="0"/>
            </w:pPr>
            <w:r>
              <w:rPr>
                <w:color w:val="303030"/>
                <w:sz w:val="14"/>
              </w:rPr>
              <w:t>(d) the species and, if relevant, the breeds related to the establishment activities approved;</w:t>
            </w:r>
          </w:p>
          <w:p>
            <w:pPr>
              <w:spacing w:before="0" w:after="0"/>
            </w:pPr>
            <w:r>
              <w:rPr>
                <w:color w:val="303030"/>
                <w:sz w:val="14"/>
              </w:rPr>
              <w:t>(e) the unique approval number assigned to the establishment by the competent authority and the date of the approval and cessation of activities.</w:t>
            </w:r>
          </w:p>
          <w:p>
            <w:pPr>
              <w:spacing w:before="50" w:after="20"/>
            </w:pPr>
            <w:r>
              <w:rPr>
                <w:b/>
                <w:color w:val="1F4E79"/>
                <w:sz w:val="13"/>
              </w:rPr>
              <w:t>▸ Prazo [Art. 33, ponto (vi)]:</w:t>
            </w:r>
          </w:p>
          <w:p>
            <w:pPr>
              <w:spacing w:before="0" w:after="0"/>
            </w:pPr>
            <w:r>
              <w:rPr>
                <w:i/>
                <w:color w:val="1F4E79"/>
                <w:sz w:val="14"/>
              </w:rPr>
              <w:t>Article 10 shall apply from … [eight years from the date of entry into force of this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26(1)(2)(3)</w:t>
              <w:br/>
            </w:r>
            <w:r>
              <w:rPr>
                <w:i/>
                <w:color w:val="808080"/>
                <w:sz w:val="13"/>
              </w:rPr>
              <w:t>[via Art. 33, ponto (iv)]</w:t>
            </w:r>
          </w:p>
          <w:p>
            <w:pPr>
              <w:spacing w:before="0" w:after="0"/>
            </w:pPr>
            <w:r>
              <w:rPr>
                <w:color w:val="303030"/>
                <w:sz w:val="14"/>
              </w:rPr>
              <w:t>1. Dogs and cats may be brought into the Union for the purpose of being placed on the Union market only if the following conditions are met:</w:t>
            </w:r>
          </w:p>
          <w:p>
            <w:pPr>
              <w:spacing w:before="0" w:after="0"/>
            </w:pPr>
            <w:r>
              <w:rPr>
                <w:color w:val="303030"/>
                <w:sz w:val="14"/>
              </w:rPr>
              <w:t>(a) they have been bred and kept in compliance with any of the following requirements:</w:t>
            </w:r>
          </w:p>
          <w:p>
            <w:pPr>
              <w:spacing w:before="0" w:after="0"/>
            </w:pPr>
            <w:r>
              <w:rPr>
                <w:color w:val="303030"/>
                <w:sz w:val="14"/>
              </w:rPr>
              <w:t>(i) the requirements contained in Chapter II of this Regulation;</w:t>
            </w:r>
          </w:p>
          <w:p>
            <w:pPr>
              <w:spacing w:before="0" w:after="0"/>
            </w:pPr>
            <w:r>
              <w:rPr>
                <w:color w:val="303030"/>
                <w:sz w:val="14"/>
              </w:rPr>
              <w:t>(ii) requirements recognised by the Union, in accordance with Article 129 of Regulation (EU) 2017/625, as being equivalent to those set out by Chapter II of this Regulation; or</w:t>
            </w:r>
          </w:p>
          <w:p>
            <w:pPr>
              <w:spacing w:before="0" w:after="0"/>
            </w:pPr>
            <w:r>
              <w:rPr>
                <w:color w:val="303030"/>
                <w:sz w:val="14"/>
              </w:rPr>
              <w:t>(iii) where applicable, requirements contained in a specific agreement between the Union and the exporting country.</w:t>
            </w:r>
          </w:p>
          <w:p>
            <w:pPr>
              <w:spacing w:before="0" w:after="0"/>
            </w:pPr>
            <w:r>
              <w:rPr>
                <w:color w:val="303030"/>
                <w:sz w:val="14"/>
              </w:rPr>
              <w:t>(b) they come from a third country or territory and from an establishment listed in accordance with Articles 126 and 127 of Regulation (EU) 2017/625.</w:t>
            </w:r>
          </w:p>
          <w:p>
            <w:pPr>
              <w:spacing w:before="0" w:after="0"/>
            </w:pPr>
            <w:r>
              <w:rPr>
                <w:color w:val="303030"/>
                <w:sz w:val="14"/>
              </w:rPr>
              <w:t>2. The official certificate referred to in Article 126(2), point (c), of Regulation (EU) 2017/625 accompanying dogs and cats brought into the Union from third countries and territories for the purpose of being placed on the Union market, shall contain an attestation certifying compliance with paragraph 1 of this Article.</w:t>
            </w:r>
          </w:p>
          <w:p>
            <w:pPr>
              <w:spacing w:before="0" w:after="0"/>
            </w:pPr>
            <w:r>
              <w:rPr>
                <w:color w:val="303030"/>
                <w:sz w:val="14"/>
              </w:rPr>
              <w:t>3. Dogs and cats brought into the Union for the purpose of being placed on the Union market shall be identified before their entry into the Union by a veterinarian by means of an injectable transponder containing a readable microchip that complies with the requirements set out in Annex II.</w:t>
            </w:r>
          </w:p>
          <w:p>
            <w:pPr>
              <w:spacing w:before="0" w:after="0"/>
            </w:pPr>
            <w:r>
              <w:rPr>
                <w:color w:val="303030"/>
                <w:sz w:val="14"/>
              </w:rPr>
              <w:t>The operator responsible for the import of the dogs or cats into the Union shall ensure that they are registered in a national database referred to in Article 23(1), by a veterinarian, within five working days after they were brought into the Union.</w:t>
            </w:r>
          </w:p>
          <w:p>
            <w:pPr>
              <w:spacing w:before="50" w:after="20"/>
            </w:pPr>
            <w:r>
              <w:rPr>
                <w:b/>
                <w:color w:val="1F4E79"/>
                <w:sz w:val="13"/>
              </w:rPr>
              <w:t>▸ Prazo [Art. 33, ponto (iv)]:</w:t>
            </w:r>
          </w:p>
          <w:p>
            <w:pPr>
              <w:spacing w:before="0" w:after="0"/>
            </w:pPr>
            <w:r>
              <w:rPr>
                <w:i/>
                <w:color w:val="1F4E79"/>
                <w:sz w:val="14"/>
              </w:rPr>
              <w:t>Article 26(1), (2) and (3) shall apply from … [five years from the date of entry into force of this Regulation].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26(4), §§ 1-4</w:t>
              <w:br/>
            </w:r>
            <w:r>
              <w:rPr>
                <w:i/>
                <w:color w:val="808080"/>
                <w:sz w:val="13"/>
              </w:rPr>
              <w:t>[via Art. 33, ponto (vii)]</w:t>
            </w:r>
          </w:p>
          <w:p>
            <w:pPr>
              <w:spacing w:before="0" w:after="0"/>
            </w:pPr>
            <w:r>
              <w:rPr>
                <w:color w:val="303030"/>
                <w:sz w:val="14"/>
              </w:rPr>
              <w:t>4. The non-commercial movement of a dog or cat from a third country or territory to the Union shall be prenotified by its owner to an online Union pet travellers' database at least five working days before the dog or cat crosses the Union border, except in the following cases:</w:t>
            </w:r>
          </w:p>
          <w:p>
            <w:pPr>
              <w:spacing w:before="0" w:after="0"/>
            </w:pPr>
            <w:r>
              <w:rPr>
                <w:color w:val="303030"/>
                <w:sz w:val="14"/>
              </w:rPr>
              <w:t>(a) where the dog or cat is brought into the Union directly from third countries or from territories fulfilling the conditions set out in Article 17(1), point (a), of Commission Delegated Regulation (EU) …/…, and</w:t>
            </w:r>
          </w:p>
          <w:p>
            <w:pPr>
              <w:spacing w:before="0" w:after="0"/>
            </w:pPr>
            <w:r>
              <w:rPr>
                <w:color w:val="303030"/>
                <w:sz w:val="14"/>
              </w:rPr>
              <w:t>(b) where the dog or cat is registered in a Member State database referred to in Article 23(1) of this Regulation.</w:t>
            </w:r>
          </w:p>
          <w:p>
            <w:pPr>
              <w:spacing w:before="0" w:after="0"/>
            </w:pPr>
            <w:r>
              <w:rPr>
                <w:color w:val="303030"/>
                <w:sz w:val="14"/>
              </w:rPr>
              <w:t>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w:t>
            </w:r>
          </w:p>
          <w:p>
            <w:pPr>
              <w:spacing w:before="0" w:after="0"/>
            </w:pPr>
            <w:r>
              <w:rPr>
                <w:color w:val="303030"/>
                <w:sz w:val="14"/>
              </w:rPr>
              <w:t>The Commission shall establish and maintain the Union pet travellers' database referred to in the first subparagraph. The Commission may entrust the development, maintenance and operation of that database to an independent entity, following a public selection process pursuant to the relevant provisions of Title VII of the Regulation (EU, Euratom) 2024/2509. Access to that database shall be restricted to Member States' competent authorities and to the Commission.</w:t>
            </w:r>
          </w:p>
          <w:p>
            <w:pPr>
              <w:spacing w:before="0" w:after="0"/>
            </w:pPr>
            <w:r>
              <w:rPr>
                <w:color w:val="303030"/>
                <w:sz w:val="14"/>
              </w:rPr>
              <w:t>The Commission shall ensure that the database triggers iRASFF notifications for pre-notified movements that present a risk of fraud. The Member State receiving the notification shall take appropriate measures to follow it up in accordance with Article 105(2) of Regulation (EU) 2017/625.</w:t>
            </w:r>
          </w:p>
          <w:p>
            <w:pPr>
              <w:spacing w:before="50" w:after="20"/>
            </w:pPr>
            <w:r>
              <w:rPr>
                <w:b/>
                <w:color w:val="1F4E79"/>
                <w:sz w:val="13"/>
              </w:rPr>
              <w:t>▸ Prazo [Art. 33, ponto (vii)]:</w:t>
            </w:r>
          </w:p>
          <w:p>
            <w:pPr>
              <w:spacing w:before="0" w:after="0"/>
            </w:pPr>
            <w:r>
              <w:rPr>
                <w:i/>
                <w:color w:val="1F4E79"/>
                <w:sz w:val="14"/>
              </w:rPr>
              <w:t>Article 26(4) shall apply from … [10 years from the entry into force of the Regulation].</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26(4),</w:t>
              <w:br/>
              <w:br/>
            </w:r>
            <w:r>
              <w:rPr>
                <w:i/>
                <w:color w:val="808080"/>
                <w:sz w:val="13"/>
              </w:rPr>
              <w:t>atos de execução</w:t>
            </w:r>
            <w:r>
              <w:rPr>
                <w:i/>
                <w:color w:val="808080"/>
                <w:sz w:val="13"/>
              </w:rPr>
              <w:t>(5.º parágrafo)</w:t>
            </w:r>
          </w:p>
          <w:p>
            <w:pPr>
              <w:spacing w:before="0" w:after="0"/>
            </w:pPr>
            <w:r>
              <w:rPr>
                <w:color w:val="303030"/>
                <w:sz w:val="14"/>
              </w:rPr>
              <w:t>The Commission shall by ... [8 years after the date of entry into force of this Regulation] adopt implementing acts laying down detailed arrangements for the following:</w:t>
            </w:r>
          </w:p>
          <w:p>
            <w:pPr>
              <w:spacing w:before="0" w:after="0"/>
            </w:pPr>
            <w:r>
              <w:rPr>
                <w:color w:val="303030"/>
                <w:sz w:val="14"/>
              </w:rPr>
              <w:t>(i) the information to be pre-notified by owners in accordance with paragraph (4) of this Article in the Union pet travellers' database, taking into account the personal data protection requirements of Regulation (EU) 2018/1725 and Regulation (EU) 2016/679;</w:t>
            </w:r>
          </w:p>
          <w:p>
            <w:pPr>
              <w:spacing w:before="0" w:after="0"/>
            </w:pPr>
            <w:r>
              <w:rPr>
                <w:color w:val="303030"/>
                <w:sz w:val="14"/>
              </w:rPr>
              <w:t>(ii) the procedure by which the risk of fraud is to be established, which is to take into account the activities carried out by the AAC network.</w:t>
            </w:r>
          </w:p>
          <w:p>
            <w:pPr>
              <w:spacing w:before="0" w:after="60"/>
            </w:pPr>
            <w:r>
              <w:rPr>
                <w:color w:val="303030"/>
                <w:sz w:val="14"/>
              </w:rPr>
              <w:t>Those implementing acts shall be adopted in accordance with the examination procedure referred to in Article 29.</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6 — Relatórios e Avaliação</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24(2)</w:t>
            </w:r>
          </w:p>
          <w:p>
            <w:pPr>
              <w:spacing w:before="0" w:after="60"/>
            </w:pPr>
            <w:r>
              <w:rPr>
                <w:color w:val="303030"/>
                <w:sz w:val="14"/>
              </w:rPr>
              <w:t>2. The competent authorities shall draw up and transmit to the Commission a report in electronic form, on the data on animal welfare, set out in Annex III, by 31 August at three-yearly intervals. The first such report shall be drawn up and transmitted to the Commission by ... [date 6 years from the date of entry into force of this Regulation]. Each report shall contain a summary of the data gathered during the previous three years.</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31(1)</w:t>
            </w:r>
          </w:p>
          <w:p>
            <w:pPr>
              <w:spacing w:before="0" w:after="60"/>
            </w:pPr>
            <w:r>
              <w:rPr>
                <w:color w:val="303030"/>
                <w:sz w:val="14"/>
              </w:rPr>
              <w:t>1. 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31(2)</w:t>
            </w:r>
          </w:p>
          <w:p>
            <w:pPr>
              <w:spacing w:before="0" w:after="0"/>
            </w:pPr>
            <w:r>
              <w:rPr>
                <w:color w:val="303030"/>
                <w:sz w:val="14"/>
              </w:rPr>
              <w:t>2. By … [14 years from the date of entry into force of this Regulation], the Commission shall carry out an evaluation of this Regulation and present a report on the main findings to the European Parliament, the Council, the European Economic and Social Committee, and the Committee of the Regions. In that evaluation and report the Commission shall assess, in particular:</w:t>
            </w:r>
          </w:p>
          <w:p>
            <w:pPr>
              <w:spacing w:before="0" w:after="0"/>
            </w:pPr>
            <w:r>
              <w:rPr>
                <w:color w:val="303030"/>
                <w:sz w:val="14"/>
              </w:rPr>
              <w:t>(a) the extent to which this Regulation has contributed to ensuring a high level of welfare for dogs and cats, improving their traceability, and reducing the illegal trade in them;</w:t>
            </w:r>
          </w:p>
          <w:p>
            <w:pPr>
              <w:spacing w:before="0" w:after="60"/>
            </w:pPr>
            <w:r>
              <w:rPr>
                <w:color w:val="303030"/>
                <w:sz w:val="14"/>
              </w:rPr>
              <w:t>(b) the impact that this Regulation has had on operators of breeding and selling establishments and shelters, and of operators who place dogs and cats in foster homes, taking into account inter alia the administrative burden and compliance costs.</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tcW w:type="dxa" w:w="15132"/>
            <w:gridSpan w:val="13"/>
            <w:shd w:val="clear" w:color="auto" w:fill="D9E8F5"/>
            <w:vAlign w:val="center"/>
            <w:tcMar>
              <w:top w:w="50" w:type="dxa"/>
              <w:bottom w:w="50" w:type="dxa"/>
              <w:left w:w="100" w:type="dxa"/>
              <w:right w:w="80" w:type="dxa"/>
            </w:tcMar>
          </w:tcPr>
          <w:p>
            <w:pPr>
              <w:spacing w:before="0" w:after="0"/>
            </w:pPr>
            <w:r>
              <w:rPr>
                <w:b/>
                <w:i/>
                <w:color w:val="1F4E79"/>
                <w:sz w:val="17"/>
              </w:rPr>
              <w:t>Grupo 7 — Disposições Institucionais</w:t>
            </w:r>
          </w:p>
        </w:tc>
      </w:tr>
      <w:tr>
        <w:tc>
          <w:tcPr>
            <w:shd w:val="clear" w:color="auto" w:fill="EBF3FB"/>
            <w:tcW w:w="7937" w:type="dxa"/>
            <w:vAlign w:val="top"/>
            <w:tcMar>
              <w:top w:w="50" w:type="dxa"/>
              <w:bottom w:w="50" w:type="dxa"/>
              <w:left w:w="80" w:type="dxa"/>
              <w:right w:w="60" w:type="dxa"/>
            </w:tcMar>
          </w:tcPr>
          <w:p>
            <w:pPr>
              <w:spacing w:before="0" w:after="40"/>
            </w:pPr>
            <w:r>
              <w:rPr>
                <w:b/>
                <w:color w:val="1F4E79"/>
                <w:sz w:val="16"/>
              </w:rPr>
              <w:t>Art. 30(2)</w:t>
            </w:r>
          </w:p>
          <w:p>
            <w:pPr>
              <w:spacing w:before="0" w:after="60"/>
            </w:pPr>
            <w:r>
              <w:rPr>
                <w:color w:val="303030"/>
                <w:sz w:val="14"/>
              </w:rPr>
              <w:t>2. Member States shall, by ... [two years after the date of entry into force of this Regulation], inform the Commission about any existing stricter national rules that they intend to maintain in accordance with paragraph 1.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 The Commission shall bring them to the attention of the other Member States.</w:t>
            </w:r>
          </w:p>
        </w:tc>
        <w:tc>
          <w:tcPr>
            <w:shd w:val="clear" w:color="auto" w:fill="EBF3FB"/>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c>
          <w:tcPr>
            <w:shd w:val="clear" w:color="auto" w:fill="EBF3FB"/>
            <w:tcW w:w="600" w:type="dxa"/>
            <w:vAlign w:val="center"/>
            <w:tcMar>
              <w:top w:w="40" w:type="dxa"/>
              <w:bottom w:w="40" w:type="dxa"/>
              <w:left w:w="8" w:type="dxa"/>
              <w:right w:w="8" w:type="dxa"/>
            </w:tcMar>
          </w:tcPr>
          <w:p>
            <w:pPr>
              <w:spacing w:before="0" w:after="0"/>
              <w:jc w:val="center"/>
            </w:pPr>
          </w:p>
        </w:tc>
      </w:tr>
      <w:tr>
        <w:tc>
          <w:tcPr>
            <w:shd w:val="clear" w:color="auto" w:fill="FFFFFF"/>
            <w:tcW w:w="7937" w:type="dxa"/>
            <w:vAlign w:val="top"/>
            <w:tcMar>
              <w:top w:w="50" w:type="dxa"/>
              <w:bottom w:w="50" w:type="dxa"/>
              <w:left w:w="80" w:type="dxa"/>
              <w:right w:w="60" w:type="dxa"/>
            </w:tcMar>
          </w:tcPr>
          <w:p>
            <w:pPr>
              <w:spacing w:before="0" w:after="40"/>
            </w:pPr>
            <w:r>
              <w:rPr>
                <w:b/>
                <w:color w:val="1F4E79"/>
                <w:sz w:val="16"/>
              </w:rPr>
              <w:t>Art. 33</w:t>
              <w:br/>
            </w:r>
            <w:r>
              <w:rPr>
                <w:i/>
                <w:color w:val="808080"/>
                <w:sz w:val="13"/>
              </w:rPr>
              <w:t>(norma geral de aplicação)</w:t>
            </w:r>
          </w:p>
          <w:p>
            <w:pPr>
              <w:spacing w:before="0" w:after="0"/>
            </w:pPr>
            <w:r>
              <w:rPr>
                <w:color w:val="303030"/>
                <w:sz w:val="14"/>
              </w:rPr>
              <w:t>This Regulation shall enter into force on the twentieth day following that of its publication in the Official Journal of the European Union.</w:t>
            </w:r>
          </w:p>
          <w:p>
            <w:pPr>
              <w:spacing w:before="0" w:after="0"/>
            </w:pPr>
            <w:r>
              <w:rPr>
                <w:color w:val="303030"/>
                <w:sz w:val="14"/>
              </w:rPr>
              <w:t>It shall apply from ... [two years from the date of entry into force of this Regulation]. However,</w:t>
            </w:r>
          </w:p>
          <w:p>
            <w:pPr>
              <w:spacing w:before="0" w:after="0"/>
            </w:pPr>
            <w:r>
              <w:rPr>
                <w:color w:val="303030"/>
                <w:sz w:val="14"/>
              </w:rPr>
              <w:t>(i) Article 16 shall apply from … [three years from the date of entry into force of this Regulation];</w:t>
            </w:r>
          </w:p>
          <w:p>
            <w:pPr>
              <w:spacing w:before="0" w:after="0"/>
            </w:pPr>
            <w:r>
              <w:rPr>
                <w:color w:val="303030"/>
                <w:sz w:val="14"/>
              </w:rPr>
              <w:t>(ii) Article 21(3) and Article 23(1) shall apply from … [four years from entry into force of this Regulation];</w:t>
            </w:r>
          </w:p>
          <w:p>
            <w:pPr>
              <w:spacing w:before="0" w:after="0"/>
            </w:pPr>
            <w:r>
              <w:rPr>
                <w:color w:val="303030"/>
                <w:sz w:val="14"/>
              </w:rPr>
              <w:t>(iii) Article 8(1) shall apply from 1 July 2036 and Article 8(2) shall apply from 1 July 2030;</w:t>
            </w:r>
          </w:p>
          <w:p>
            <w:pPr>
              <w:spacing w:before="0" w:after="0"/>
            </w:pPr>
            <w:r>
              <w:rPr>
                <w:color w:val="303030"/>
                <w:sz w:val="14"/>
              </w:rPr>
              <w:t>(iv) Article 15, Article 21(3), second subparagraph, (4) and (5), Article 22(1), points (a),(b) and (c), Article 23(3) and (4), and Article 26(1), (2) and (3) shall apply from … [five years from the date of entry into force of this Regulation];</w:t>
            </w:r>
          </w:p>
          <w:p>
            <w:pPr>
              <w:spacing w:before="0" w:after="0"/>
            </w:pPr>
            <w:r>
              <w:rPr>
                <w:color w:val="303030"/>
                <w:sz w:val="14"/>
              </w:rPr>
              <w:t>(v) Article 12(2) and (3) shall apply from … [seven years from the date of entry into force of this Regulation];</w:t>
            </w:r>
          </w:p>
          <w:p>
            <w:pPr>
              <w:spacing w:before="0" w:after="0"/>
            </w:pPr>
            <w:r>
              <w:rPr>
                <w:color w:val="303030"/>
                <w:sz w:val="14"/>
              </w:rPr>
              <w:t>(vi) Article 10 shall apply from … [eight years from the date of entry into force of this Regulation]; and</w:t>
            </w:r>
          </w:p>
          <w:p>
            <w:pPr>
              <w:spacing w:before="0" w:after="0"/>
            </w:pPr>
            <w:r>
              <w:rPr>
                <w:color w:val="303030"/>
                <w:sz w:val="14"/>
              </w:rPr>
              <w:t>(vii) Article 26(4) shall apply from … [10 years from the entry into force of the Regulation].</w:t>
            </w:r>
          </w:p>
          <w:p>
            <w:pPr>
              <w:spacing w:before="0" w:after="60"/>
            </w:pPr>
            <w:r>
              <w:rPr>
                <w:color w:val="303030"/>
                <w:sz w:val="14"/>
              </w:rPr>
              <w:t>This Regulation shall be binding in its entirety and directly applicable in all Member States.</w:t>
            </w:r>
          </w:p>
        </w:tc>
        <w:tc>
          <w:tcPr>
            <w:shd w:val="clear" w:color="auto" w:fill="FFFFFF"/>
            <w:tcW w:w="600" w:type="dxa"/>
            <w:vAlign w:val="center"/>
            <w:tcMar>
              <w:top w:w="40" w:type="dxa"/>
              <w:bottom w:w="40" w:type="dxa"/>
              <w:left w:w="8" w:type="dxa"/>
              <w:right w:w="8" w:type="dxa"/>
            </w:tcMar>
          </w:tcPr>
          <w:p>
            <w:pPr>
              <w:spacing w:before="0" w:after="0"/>
              <w:jc w:val="center"/>
            </w:pPr>
            <w:r>
              <w:rPr>
                <w:b/>
                <w:color w:val="1F4E79"/>
                <w:sz w:val="20"/>
              </w:rPr>
              <w:t>✓</w:t>
            </w: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c>
          <w:tcPr>
            <w:shd w:val="clear" w:color="auto" w:fill="FFFFFF"/>
            <w:tcW w:w="600" w:type="dxa"/>
            <w:vAlign w:val="center"/>
            <w:tcMar>
              <w:top w:w="40" w:type="dxa"/>
              <w:bottom w:w="40" w:type="dxa"/>
              <w:left w:w="8" w:type="dxa"/>
              <w:right w:w="8" w:type="dxa"/>
            </w:tcMar>
          </w:tcPr>
          <w:p>
            <w:pPr>
              <w:spacing w:before="0" w:after="0"/>
              <w:jc w:val="center"/>
            </w:pPr>
          </w:p>
        </w:tc>
      </w:tr>
    </w:tbl>
    <w:p>
      <w:pPr>
        <w:spacing w:before="200" w:after="0"/>
      </w:pPr>
      <w:r>
        <w:rPr>
          <w:i/>
          <w:color w:val="808080"/>
          <w:sz w:val="15"/>
        </w:rPr>
        <w:t>Nota: Texto verbatim em inglês conforme Regulamento 2023/0447 (versão de 11.12.2025). Os prazos em anos são contados a partir da entrada em vigor (vigésimo dia após publicação no JOUE). As datas 1 Jul. 2030 e 1 Jul. 2036 são absolutas (Art. 33, ponto iii). Quando há um bloco [PRAZO] separado, o prazo vem de Art. 33 (disposições gerais de aplicação); quando não há, o prazo está embutido no próprio artigo.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