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before="120" w:after="0"/>
              <w:ind w:left="8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before="120" w:after="0"/>
              <w:ind w:left="8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before="120" w:after="0"/>
              <w:ind w:left="8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val="0"/>
                <w:color w:val="222222"/>
                <w:sz w:val="19"/>
              </w:rPr>
              <w:t>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before="120" w:after="0"/>
              <w:ind w:left="8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before="120" w:after="0"/>
              <w:ind w:left="8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before="120" w:after="0"/>
              <w:ind w:left="8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do RGBEAC (proposta, jun. 2025)</w:t>
              <w:br/>
            </w:r>
            <w:r>
              <w:rPr>
                <w:rFonts w:ascii="Calibri" w:hAnsi="Calibri"/>
                <w:b w:val="0"/>
                <w:i w:val="0"/>
                <w:color w:val="222222"/>
                <w:sz w:val="19"/>
              </w:rPr>
              <w:t>1 — A identificação dos animais de companhia, pela sua marcação, quando aplicável, e registo no SIAC, deve ser realizada:</w:t>
            </w:r>
          </w:p>
          <w:p>
            <w:pPr>
              <w:spacing w:before="120" w:after="0"/>
              <w:ind w:left="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before="120" w:after="0"/>
              <w:ind w:left="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before="120" w:after="0"/>
              <w:ind w:left="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53.º do Código do Animal (DL n.º 214/2013)</w:t>
              <w:br/>
            </w:r>
            <w:r>
              <w:rPr>
                <w:rFonts w:ascii="Calibri" w:hAnsi="Calibri"/>
                <w:b w:val="0"/>
                <w:i w:val="0"/>
                <w:color w:val="222222"/>
                <w:sz w:val="19"/>
              </w:rPr>
              <w:t>1 — Todos os cães devem ser identificados e registados, entre os três e os seis meses de idade.</w:t>
            </w:r>
          </w:p>
          <w:p>
            <w:pPr>
              <w:spacing w:before="120" w:after="0"/>
              <w:ind w:left="8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before="120" w:after="0"/>
              <w:ind w:left="80"/>
            </w:pPr>
            <w:r>
              <w:rPr>
                <w:rFonts w:ascii="Calibri" w:hAnsi="Calibri"/>
                <w:b w:val="0"/>
                <w:i w:val="0"/>
                <w:color w:val="222222"/>
                <w:sz w:val="19"/>
              </w:rPr>
              <w:t>4 — Os cães e gatos são identificados através de método electrónico e registados na base de dados nacional.</w:t>
            </w:r>
          </w:p>
          <w:p>
            <w:pPr>
              <w:spacing w:before="120" w:after="0"/>
              <w:ind w:left="8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5.º do DL n.º 82/2019, de 27 de junho</w:t>
              <w:br/>
            </w:r>
            <w:r>
              <w:rPr>
                <w:rFonts w:ascii="Calibri" w:hAnsi="Calibri"/>
                <w:b w:val="0"/>
                <w:i w:val="0"/>
                <w:color w:val="222222"/>
                <w:sz w:val="19"/>
              </w:rPr>
              <w:t>1 — A identificação dos animais de companhia, pela sua marcação e registo no SIAC, deve ser realizada até 120 dias após o seu nascimento.</w:t>
            </w:r>
          </w:p>
          <w:p>
            <w:pPr>
              <w:spacing w:before="120" w:after="0"/>
              <w:ind w:left="8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before="120" w:after="0"/>
              <w:ind w:left="8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fixa o prazo de identificação em 3 meses para nascimentos e 30 dias para entrada em estabelecimentos. A @legislacao (DL n.º 82/2019, art.º 5.º) prevê um prazo geral de 120 dias após o nascimento, sem distinguir o contexto de estabelecimento — prazo superior ao fixado pelo @regulamento e que exigirá redução. O @codigo fixa entre 3 e 6 meses, igualmente sem distinção de contexto. O @rgbeac alinha com o @regulamento nos prazos, mas aplica-se apenas a cães, gatos e furões. Nenhum dos diplomas nacionais vigentes distingue o prazo de 30 dias aplicável a animais que entram em estabelecimentos, previsto no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são responsáveis pelo bem-estar dos cães ou gatos mantidos nos estabelecimentos sob a sua responsabilidade e controlo e devem minimizar quaisquer riscos para o seu bem-estar.</w:t>
            </w:r>
          </w:p>
          <w:p>
            <w:pPr>
              <w:spacing w:before="120" w:after="0"/>
              <w:ind w:left="8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val="0"/>
                <w:color w:val="222222"/>
                <w:sz w:val="19"/>
              </w:rPr>
              <w:t>Operators shall be responsible for the welfare of dogs or cats kept in the establishments under their responsibility and under their control and to minimise any risks to their welfare.</w:t>
            </w:r>
          </w:p>
          <w:p>
            <w:pPr>
              <w:spacing w:before="120" w:after="0"/>
              <w:ind w:left="8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10.º do RGBEAC (proposta, jun. 2025)</w:t>
              <w:br/>
            </w:r>
            <w:r>
              <w:rPr>
                <w:rFonts w:ascii="Calibri" w:hAnsi="Calibri"/>
                <w:b w:val="0"/>
                <w:i w:val="0"/>
                <w:color w:val="222222"/>
                <w:sz w:val="19"/>
              </w:rPr>
              <w:t>1 — O detentor do animal de companhia deve:</w:t>
            </w:r>
          </w:p>
          <w:p>
            <w:pPr>
              <w:spacing w:before="120" w:after="0"/>
              <w:ind w:left="80"/>
            </w:pPr>
            <w:r>
              <w:rPr>
                <w:rFonts w:ascii="Calibri" w:hAnsi="Calibri"/>
                <w:b w:val="0"/>
                <w:i w:val="0"/>
                <w:color w:val="222222"/>
                <w:sz w:val="19"/>
              </w:rPr>
              <w:t>a) Assegurar o bem-estar do animal, de acordo com a sua espécie, raça, idade e necessidades físicas e etológicas, proporcionando-lhe:</w:t>
              <w:br/>
              <w:t>— Atenção, supervisão, controlo, exercício físico e estímulo mental;</w:t>
              <w:br/>
              <w:t>— Alimentos saudáveis, adequados e convenientes ao seu normal desenvolvimento e acesso permanente a água potável;</w:t>
              <w:br/>
              <w:t>— Condições higiossanitárias que atendam, no mínimo, ao estabelecido no presente decreto-lei e na demais legislação aplicável;</w:t>
              <w:b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5.º do Código do Animal (DL n.º 214/2013)</w:t>
              <w:br/>
            </w: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before="120" w:after="0"/>
              <w:ind w:left="8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7.º do DL n.º 276/2001, de 17 de outubro</w:t>
              <w:br/>
            </w: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before="120" w:after="0"/>
              <w:ind w:left="8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especifica o limite de 5 animais por família de acolhimento e atribui responsabilidade ao operador (não à família). A @legislacao (DL n.º 276/2001, art.º 7.º) centra a responsabilidade no detentor, sem distinguir o contexto de acolhimento temporário nem fixar limites numéricos — posição idêntica à do @rgbeac e do @codigo. Nenhum dos diplomas nacionais, incluindo a legislação vigente, prevê o conceito de família de acolhimento nem o limite numérico de 5 animais estabelecido pelo @regulamento. A lacuna é transversal a toda a legislação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notificar as autoridades competentes da sua atividade, fornecendo pelo menos as seguintes informações:</w:t>
            </w:r>
          </w:p>
          <w:p>
            <w:pPr>
              <w:spacing w:before="120" w:after="0"/>
              <w:ind w:left="80"/>
            </w:pPr>
            <w:r>
              <w:rPr>
                <w:rFonts w:ascii="Calibri" w:hAnsi="Calibri"/>
                <w:b w:val="0"/>
                <w:i/>
                <w:color w:val="222222"/>
                <w:sz w:val="19"/>
              </w:rPr>
              <w:t>(a) nome, morada e contactos do operador;</w:t>
              <w:br/>
              <w:t>(b) a(s) localização(ões) do(s) estabelecimento(s);</w:t>
              <w:br/>
              <w:t>(c) o tipo de estabelecimento: criação, venda, abrigo ou família de acolhimento;</w:t>
              <w:br/>
              <w:t>(d) as espécies e, para os estabelecimentos de criação, as raças dos cães ou gatos mantidos;</w:t>
              <w:br/>
              <w:t>(e) a capacidade do estabelecimento, expressa no número máximo de cães e gatos que podem ser alojados;</w:t>
              <w:b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val="0"/>
                <w:color w:val="222222"/>
                <w:sz w:val="19"/>
              </w:rPr>
              <w:t>Operators shall notify the competent authorities of their activity, providing at least the following information:</w:t>
            </w:r>
          </w:p>
          <w:p>
            <w:pPr>
              <w:spacing w:before="120" w:after="0"/>
              <w:ind w:left="80"/>
            </w:pPr>
            <w:r>
              <w:rPr>
                <w:rFonts w:ascii="Calibri" w:hAnsi="Calibri"/>
                <w:b w:val="0"/>
                <w:i w:val="0"/>
                <w:color w:val="222222"/>
                <w:sz w:val="19"/>
              </w:rPr>
              <w:t>(a) name, address and contact details of the operator;</w:t>
              <w:br/>
              <w:t>(b) the location(s) of the establishment(s);</w:t>
              <w:br/>
              <w:t>(c) the type(s) of establishment: breeding establishment, selling establishment, shelter or foster home;</w:t>
              <w:br/>
              <w:t>(d) the species and, for breeding establishments, the breeds of the dogs or cats kept in the establishment(s);</w:t>
              <w:br/>
              <w:t>(e) the capacity of the establishment expressed as the maximum number of dogs and cats which can be kept in the establishment(s);</w:t>
              <w:b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43.º do RGBEAC (proposta, jun. 2025)</w:t>
              <w:br/>
            </w:r>
            <w:r>
              <w:rPr>
                <w:rFonts w:ascii="Calibri" w:hAnsi="Calibri"/>
                <w:b w:val="0"/>
                <w:i w:val="0"/>
                <w:color w:val="222222"/>
                <w:sz w:val="19"/>
              </w:rPr>
              <w:t>1 — Os centros de bem-estar animal procedem à esterilização dos animais recolhidos que se presuma terem sido abandonados, nos termos do artigo 41.º.</w:t>
            </w:r>
          </w:p>
          <w:p>
            <w:pPr>
              <w:spacing w:before="120" w:after="0"/>
              <w:ind w:left="8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before="120" w:after="0"/>
              <w:ind w:left="8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8.º do Código do Animal (DL n.º 214/2013)</w:t>
              <w:br/>
            </w:r>
            <w:r>
              <w:rPr>
                <w:rFonts w:ascii="Calibri" w:hAnsi="Calibri"/>
                <w:b w:val="0"/>
                <w:i w:val="0"/>
                <w:color w:val="222222"/>
                <w:sz w:val="19"/>
              </w:rPr>
              <w:t>1 — A reprodução de animais deve ser realizada de forma planeada.</w:t>
            </w:r>
          </w:p>
          <w:p>
            <w:pPr>
              <w:spacing w:before="120" w:after="0"/>
              <w:ind w:left="80"/>
            </w:pPr>
            <w:r>
              <w:rPr>
                <w:rFonts w:ascii="Calibri" w:hAnsi="Calibri"/>
                <w:b w:val="0"/>
                <w:i w:val="0"/>
                <w:color w:val="222222"/>
                <w:sz w:val="19"/>
              </w:rPr>
              <w:t>2 — A reprodução de animais obedece ao seguinte:</w:t>
            </w:r>
          </w:p>
          <w:p>
            <w:pPr>
              <w:spacing w:before="120" w:after="0"/>
              <w:ind w:left="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before="120" w:after="0"/>
              <w:ind w:left="80"/>
            </w:pPr>
            <w:r>
              <w:rPr>
                <w:rFonts w:ascii="Calibri" w:hAnsi="Calibri"/>
                <w:b w:val="0"/>
                <w:i w:val="0"/>
                <w:color w:val="222222"/>
                <w:sz w:val="19"/>
              </w:rPr>
              <w:t>b) Deve ser respeitada a regra do porte semelhante dos progenitores, para prevenir a possibilidade de distócia;</w:t>
            </w:r>
          </w:p>
          <w:p>
            <w:pPr>
              <w:spacing w:before="120" w:after="0"/>
              <w:ind w:left="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 1 do art.º 3.º-A do DL n.º 276/2001, de 17 de outubro</w:t>
              <w:br/>
            </w: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before="120" w:after="0"/>
              <w:ind w:left="80"/>
            </w:pPr>
            <w:r>
              <w:rPr>
                <w:rFonts w:ascii="Calibri" w:hAnsi="Calibri"/>
                <w:b w:val="0"/>
                <w:i w:val="0"/>
                <w:color w:val="222222"/>
                <w:sz w:val="19"/>
              </w:rPr>
              <w:t>a) O nome ou a denominação social do interessado;</w:t>
              <w:br/>
              <w:t>b) A localização do alojamento e a sua designação comercial;</w:t>
              <w:br/>
              <w:t>c) O número de identificação fiscal ou de pessoa coletiva do interessado;</w:t>
              <w:br/>
              <w:t>d) Municípios integrantes, no caso dos centros de recolha intermunicipais;</w:t>
              <w:br/>
              <w:t>e) Caracterização das atividades a exercer;</w:t>
              <w:br/>
              <w:t>f) Indicação do médico veterinário responsável pelo alojamento;</w:t>
              <w:br/>
              <w:t>g) O número de celas de quarentena para isolamento de animais por suspeita de raiva, no caso dos centros de recolha;</w:t>
              <w:br/>
              <w:t>h) A capacidade máxima de animais e respetivas espécies a alojar;</w:t>
              <w:br/>
              <w:t>i) O número de animais detidos, espécies e raças;</w:t>
              <w:b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exige notificação prévia com dados detalhados, incluindo o número estimado de ninhadas a colocar no mercado por ano (al. ea)). A @legislacao (DL n.º 276/2001, art.º 3.º-A) já prevê comunicação prévia à DGAV com elementos parcialmente equivalentes (capacidade máxima, espécies, raças — als. h) e i)), mas não exige a estimativa de ninhadas, constituindo lacuna parcial face ao @regulamento. O @codigo regula condições de reprodução mas não prevê notificação ou registo de estabelecimentos criadores. O @rgbeac trata exclusivamente da esterilização de errantes, sem qualquer norma sobre notificação de criadores. A @legislacao vigente é, dos diplomas nacionais, o mais próximo do @regulamento neste eixo, ainda que com lacuna relevante.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aplicar os seguintes princípios gerais de bem-estar aos cães e gatos criados ou detidos nos seus estabelecimentos:</w:t>
            </w:r>
          </w:p>
          <w:p>
            <w:pPr>
              <w:spacing w:before="120" w:after="0"/>
              <w:ind w:left="80"/>
            </w:pPr>
            <w:r>
              <w:rPr>
                <w:rFonts w:ascii="Calibri" w:hAnsi="Calibri"/>
                <w:b w:val="0"/>
                <w:i/>
                <w:color w:val="222222"/>
                <w:sz w:val="19"/>
              </w:rPr>
              <w:t>(a) os cães e gatos são alimentados e abebeirados com água e ração de qualidade e quantidade adequadas a uma nutrição e hidratação apropriadas;</w:t>
            </w:r>
          </w:p>
          <w:p>
            <w:pPr>
              <w:spacing w:before="120" w:after="0"/>
              <w:ind w:left="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before="120" w:after="0"/>
              <w:ind w:left="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before="120" w:after="0"/>
              <w:ind w:left="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before="120" w:after="0"/>
              <w:ind w:left="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val="0"/>
                <w:color w:val="222222"/>
                <w:sz w:val="19"/>
              </w:rPr>
              <w:t>Operators shall apply the following general welfare principles with respect to dogs or cats bred or kept in their establishment:</w:t>
            </w:r>
          </w:p>
          <w:p>
            <w:pPr>
              <w:spacing w:before="120" w:after="0"/>
              <w:ind w:left="80"/>
            </w:pPr>
            <w:r>
              <w:rPr>
                <w:rFonts w:ascii="Calibri" w:hAnsi="Calibri"/>
                <w:b w:val="0"/>
                <w:i w:val="0"/>
                <w:color w:val="222222"/>
                <w:sz w:val="19"/>
              </w:rPr>
              <w:t>(a) dogs and cats are provided with water and feed of a quality and of a quantity that enables them to have appropriate nutrition and hydration;</w:t>
            </w:r>
          </w:p>
          <w:p>
            <w:pPr>
              <w:spacing w:before="120" w:after="0"/>
              <w:ind w:left="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before="120" w:after="0"/>
              <w:ind w:left="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before="120" w:after="0"/>
              <w:ind w:left="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before="120" w:after="0"/>
              <w:ind w:left="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al. a) do n.º 1 do art.º 10.º do RGBEAC (proposta, jun. 2025)</w:t>
              <w:br/>
            </w:r>
            <w:r>
              <w:rPr>
                <w:rFonts w:ascii="Calibri" w:hAnsi="Calibri"/>
                <w:b w:val="0"/>
                <w:i w:val="0"/>
                <w:color w:val="222222"/>
                <w:sz w:val="19"/>
              </w:rPr>
              <w:t>1 — O detentor do animal de companhia deve:</w:t>
            </w:r>
          </w:p>
          <w:p>
            <w:pPr>
              <w:spacing w:before="120" w:after="0"/>
              <w:ind w:left="80"/>
            </w:pPr>
            <w:r>
              <w:rPr>
                <w:rFonts w:ascii="Calibri" w:hAnsi="Calibri"/>
                <w:b w:val="0"/>
                <w:i w:val="0"/>
                <w:color w:val="222222"/>
                <w:sz w:val="19"/>
              </w:rPr>
              <w:t>a) Assegurar o bem-estar do animal, de acordo com sua espécie, raça, idade e necessidades físicas e etológicas, proporcionando-lhe:</w:t>
              <w:br/>
              <w:t>— Atenção, supervisão, controlo, exercício físico e estímulo mental;</w:t>
              <w:br/>
              <w:t>— Alimentos saudáveis, adequados e convenientes ao seu normal desenvolvimento e acesso permanente a água potável;</w:t>
              <w:br/>
              <w:t>— Condições higiossanitárias que atendam, no mínimo, ao estabelecido no presente decreto-lei e na demais legislação aplicável;</w:t>
              <w:br/>
              <w:t>— Liberdade de movimento, sendo proibidos todos os sistemas de contenção permanentes;</w:t>
              <w:br/>
              <w:t>— Abrigo adequado, em termos de tamanho e qualidade, com vista a proteger de condições atmosféricas adversas, incluindo frio, chuva, sol ou calor excessivos, com cama seca, limpa e confortável;</w:t>
              <w:b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5.º do Código do Animal (DL n.º 214/2013)</w:t>
              <w:br/>
            </w: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before="120" w:after="0"/>
              <w:ind w:left="8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 1 do art.º 7.º e n.º 1 do art.º 9.º do DL n.º 276/2001, de 17 de outubro</w:t>
              <w:br/>
            </w:r>
            <w:r>
              <w:rPr>
                <w:rFonts w:ascii="Calibri" w:hAnsi="Calibri"/>
                <w:b w:val="0"/>
                <w:i w:val="0"/>
                <w:color w:val="222222"/>
                <w:sz w:val="19"/>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before="120" w:after="0"/>
              <w:ind w:left="80"/>
            </w:pPr>
            <w:r>
              <w:rPr>
                <w:rFonts w:ascii="Calibri" w:hAnsi="Calibri"/>
                <w:b w:val="0"/>
                <w:i w:val="0"/>
                <w:color w:val="222222"/>
                <w:sz w:val="19"/>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enuncia explicitamente 5 domínios de bem-estar — nutrição, ambiente, saúde, comportamento e estado mental — como obrigação vinculativa dos operadores de estabelecimentos. A @legislacao (DL n.º 276/2001, art.ºs 7.º e 9.º) e o @codigo (art.º 5.º) consagram os mesmos parâmetros de bem-estar, mas sem formulação sistemática nos 5 domínios: o @codigo refere 'parâmetros de bem-estar animal' genericamente; o DL n.º 276/2001 desenvolve cada parâmetro em artigos separados (alojamento, alimentação, ambiente) mas sem os denominar domínios. O @rgbeac (art.º 10.º, n.º 1, al. a)) articula obrigações equivalentes ao nível do detentor mas de forma descritiva, não sistematizada nos 5 domínios. Nenhum diploma nacional adota formalmente a nomenclatura dos 5 domínios OMSA como 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 estabelecimentos de criação devem assegurar que as suas estratégias de criação minimizam o risco de produzir cães ou gatos com genótipos associados a efeitos prejudiciais para a sua saúde e bem-estar.</w:t>
            </w:r>
          </w:p>
          <w:p>
            <w:pPr>
              <w:spacing w:before="120" w:after="0"/>
              <w:ind w:left="80"/>
            </w:pPr>
            <w:r>
              <w:rPr>
                <w:rFonts w:ascii="Calibri" w:hAnsi="Calibri"/>
                <w:b w:val="0"/>
                <w:i/>
                <w:color w:val="222222"/>
                <w:sz w:val="19"/>
              </w:rPr>
              <w:t>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w:t>
            </w:r>
          </w:p>
          <w:p>
            <w:pPr>
              <w:spacing w:before="120" w:after="0"/>
              <w:ind w:left="80"/>
            </w:pPr>
            <w:r>
              <w:rPr>
                <w:rFonts w:ascii="Calibri" w:hAnsi="Calibri"/>
                <w:b w:val="0"/>
                <w:i/>
                <w:color w:val="222222"/>
                <w:sz w:val="19"/>
              </w:rPr>
              <w:t>São proibidos na gestão da reprodução de cães e gatos:</w:t>
              <w:br/>
              <w:t>(a) o cruzamento entre progenitores e descendentes, entre irmãos, entre meios-irmãos ou entre avós e netos, exceto com aprovação da autoridade competente por razão de necessidade específica de preservação de raças locais com reserva genética limitada;</w:t>
              <w:br/>
              <w:t>(b) o cruzamento para produção de híbridos.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val="0"/>
                <w:color w:val="222222"/>
                <w:sz w:val="19"/>
              </w:rPr>
              <w:t>Operators of breeding establishments shall ensure that their breeding strategies minimise the risk of producing dogs or cats with genotypes associated with detrimental effects on their health and welfare.</w:t>
            </w:r>
          </w:p>
          <w:p>
            <w:pPr>
              <w:spacing w:before="120" w:after="0"/>
              <w:ind w:left="80"/>
            </w:pPr>
            <w:r>
              <w:rPr>
                <w:rFonts w:ascii="Calibri" w:hAnsi="Calibri"/>
                <w:b w:val="0"/>
                <w:i w:val="0"/>
                <w:color w:val="222222"/>
                <w:sz w:val="19"/>
              </w:rPr>
              <w:t>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w:t>
            </w:r>
          </w:p>
          <w:p>
            <w:pPr>
              <w:spacing w:before="120" w:after="0"/>
              <w:ind w:left="80"/>
            </w:pPr>
            <w:r>
              <w:rPr>
                <w:rFonts w:ascii="Calibri" w:hAnsi="Calibri"/>
                <w:b w:val="0"/>
                <w:i w:val="0"/>
                <w:color w:val="222222"/>
                <w:sz w:val="19"/>
              </w:rPr>
              <w:t>The following shall be prohibited in the management of the reproduction of dogs and cats:</w:t>
              <w:br/>
              <w:t>(a) the breeding between parents and offspring, between siblings, between half-siblings or between grandparents and grandchildren, unless approved by the competent authority based on a specific need to preserve local breeds with a limited genetic pool;</w:t>
              <w:br/>
              <w:t>(b) the breeding to produce hybrids.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e 2 do art.º 34.º do RGBEAC (proposta, jun. 2025)</w:t>
              <w:br/>
            </w: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before="120" w:after="0"/>
              <w:ind w:left="8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 2, als. a), b) e c) do art.º 8.º do Código do Animal (DL n.º 214/2013)</w:t>
              <w:br/>
            </w:r>
            <w:r>
              <w:rPr>
                <w:rFonts w:ascii="Calibri" w:hAnsi="Calibri"/>
                <w:b w:val="0"/>
                <w:i w:val="0"/>
                <w:color w:val="222222"/>
                <w:sz w:val="19"/>
              </w:rPr>
              <w:t>2 — A reprodução de animais obedece ao seguinte:</w:t>
            </w:r>
          </w:p>
          <w:p>
            <w:pPr>
              <w:spacing w:before="120" w:after="0"/>
              <w:ind w:left="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before="120" w:after="0"/>
              <w:ind w:left="80"/>
            </w:pPr>
            <w:r>
              <w:rPr>
                <w:rFonts w:ascii="Calibri" w:hAnsi="Calibri"/>
                <w:b w:val="0"/>
                <w:i w:val="0"/>
                <w:color w:val="222222"/>
                <w:sz w:val="19"/>
              </w:rPr>
              <w:t>b) Deve ser respeitada a regra do porte semelhante dos progenitores, para prevenir a possibilidade de distócia;</w:t>
            </w:r>
          </w:p>
          <w:p>
            <w:pPr>
              <w:spacing w:before="120" w:after="0"/>
              <w:ind w:left="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e n.º 1 do art.º 18.º do DL n.º 276/2001, de 17 de outubro</w:t>
              <w:br/>
            </w:r>
            <w:r>
              <w:rPr>
                <w:rFonts w:ascii="Calibri" w:hAnsi="Calibri"/>
                <w:b w:val="0"/>
                <w:i w:val="0"/>
                <w:color w:val="222222"/>
                <w:sz w:val="19"/>
              </w:rPr>
              <w:t>Artigo 17.º — As intervenções cirúrgicas, nomeadamente as destinadas ao corte de caudas nos canídeos, têm de ser executadas por um médico veterinário.</w:t>
            </w:r>
          </w:p>
          <w:p>
            <w:pPr>
              <w:spacing w:before="120" w:after="0"/>
              <w:ind w:left="80"/>
            </w:pPr>
            <w:r>
              <w:rPr>
                <w:rFonts w:ascii="Calibri" w:hAnsi="Calibri"/>
                <w:b w:val="0"/>
                <w:i w:val="0"/>
                <w:color w:val="222222"/>
                <w:sz w:val="19"/>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proíbe traços conformacionais excessivos e impõe consulta veterinária prévia ao acasalamento de animais potencialmente afetados, além de proibir consanguinidade próxima (pais/filhos, irmãos, avós/netos) e produção de híbridos. Estas exigências são inteiramente novas no direito nacional: a @legislacao (DL n.º 276/2001, art.ºs 17.º e 18.º) limita-se a exigir intervenção veterinária em cirurgias e documentação para amputações, sem abordar conformação ou consanguinidade. O @codigo (art.º 8.º, n.º 2) exclui da reprodução animais com defeitos genéticos e malformações, e proíbe acasalamento em cios sucessivos, mas não prevê o conceito de traços conformacionais excessivos nem proíbe consanguinidade. O @rgbeac (art.º 34.º) proíbe apenas intervenções cirúrgicas de modificação da aparência, sem norma sobre estratégia genética. Lacuna normativa transversal a toda a legislação nacional quanto ao núcleo central do art.º 6.a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assegurar que:</w:t>
            </w:r>
          </w:p>
          <w:p>
            <w:pPr>
              <w:spacing w:before="120" w:after="0"/>
              <w:ind w:left="80"/>
            </w:pPr>
            <w:r>
              <w:rPr>
                <w:rFonts w:ascii="Calibri" w:hAnsi="Calibri"/>
                <w:b w:val="0"/>
                <w:i/>
                <w:color w:val="222222"/>
                <w:sz w:val="19"/>
              </w:rPr>
              <w:t>(a) os cães e gatos sob a sua responsabilidade são inspecionados por cuidadores pelo menos uma vez por dia, e os animais vulneráveis, como recém-nascidos, doentes, lesionados, fêmeas em período peri-parto, são inspecionados com maior frequência;</w:t>
            </w:r>
          </w:p>
          <w:p>
            <w:pPr>
              <w:spacing w:before="120" w:after="0"/>
              <w:ind w:left="80"/>
            </w:pPr>
            <w:r>
              <w:rPr>
                <w:rFonts w:ascii="Calibri" w:hAnsi="Calibri"/>
                <w:b w:val="0"/>
                <w:i/>
                <w:color w:val="222222"/>
                <w:sz w:val="19"/>
              </w:rPr>
              <w:t>(b) os cães e gatos com bem-estar comprometido são transferidos, quando necessário, sem demora injustificada para área separada e, se necessário, recebem tratamento adequado;</w:t>
            </w:r>
          </w:p>
          <w:p>
            <w:pPr>
              <w:spacing w:before="120" w:after="0"/>
              <w:ind w:left="80"/>
            </w:pPr>
            <w:r>
              <w:rPr>
                <w:rFonts w:ascii="Calibri" w:hAnsi="Calibri"/>
                <w:b w:val="0"/>
                <w:i/>
                <w:color w:val="222222"/>
                <w:sz w:val="19"/>
              </w:rPr>
              <w:t>(c) quando a recuperação de um animal com bem-estar comprometido não seja alcançável e o animal experiencie dor ou sofrimento severo, um médico veterinário é consultado sem demora injustificada para decidir sobre a eutanásia, que, se realizada, é executada com anestesia e analgesia;</w:t>
            </w:r>
          </w:p>
          <w:p>
            <w:pPr>
              <w:spacing w:before="120" w:after="0"/>
              <w:ind w:left="80"/>
            </w:pPr>
            <w:r>
              <w:rPr>
                <w:rFonts w:ascii="Calibri" w:hAnsi="Calibri"/>
                <w:b w:val="0"/>
                <w:i/>
                <w:color w:val="222222"/>
                <w:sz w:val="19"/>
              </w:rPr>
              <w:t>(d) são implementadas medidas de prevenção e controlo de parasitas externos e internos, bem como vacinações para prevenção de doenças comuns.</w:t>
            </w:r>
          </w:p>
          <w:p>
            <w:pPr>
              <w:spacing w:before="120" w:after="0"/>
              <w:ind w:left="80"/>
            </w:pPr>
            <w:r>
              <w:rPr>
                <w:rFonts w:ascii="Calibri" w:hAnsi="Calibri"/>
                <w:b w:val="0"/>
                <w:i/>
                <w:color w:val="222222"/>
                <w:sz w:val="19"/>
              </w:rPr>
              <w:t>Os operadores de estabelecimentos de criação devem adicionalmente assegurar que:</w:t>
              <w:br/>
              <w:t>(-a) as cadelas ou gatas só são reproduzidas se tiverem atingido a idade mínima e maturidade esquelética nos termos do Anexo I, e não apresentem doença diagnosticada, sinais clínicos ou condições físicas que possam impactar negativamente a gestação e o bem-estar;</w:t>
              <w:br/>
              <w:t>(-b) a frequência de gestações com ninhadas respeita o máximo fixado no Anexo I;</w:t>
              <w:br/>
              <w:t>(-c) as gatas a lactar não são acasaladas nem inseminadas.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Texto original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val="0"/>
                <w:color w:val="222222"/>
                <w:sz w:val="19"/>
              </w:rPr>
              <w:t>Operators shall ensure that:</w:t>
            </w:r>
          </w:p>
          <w:p>
            <w:pPr>
              <w:spacing w:before="120" w:after="0"/>
              <w:ind w:left="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before="120" w:after="0"/>
              <w:ind w:left="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before="120" w:after="0"/>
              <w:ind w:left="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before="120" w:after="0"/>
              <w:ind w:left="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before="120" w:after="0"/>
              <w:ind w:left="80"/>
            </w:pPr>
            <w:r>
              <w:rPr>
                <w:rFonts w:ascii="Calibri" w:hAnsi="Calibri"/>
                <w:b w:val="0"/>
                <w:i w:val="0"/>
                <w:color w:val="222222"/>
                <w:sz w:val="19"/>
              </w:rPr>
              <w:t>Operators of breeding establishments shall additionally ensure that:</w:t>
              <w:br/>
              <w:t>(-a) bitches or queens are only bred if they have reached a minimum age and skeletal maturity in accordance with point 3 of Annex I, and they have no diagnosed disease, clinical sign of diseases or physical conditions which could negatively impact their pregnancy and welfare;</w:t>
              <w:br/>
              <w:t>(-b) litter-giving pregnancies of bitches or queens follows a maximum frequency in accordance with point 3 of Annex I;</w:t>
              <w:br/>
              <w:t>(-c) lactating queens are not mated or inseminated.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33.º do RGBEAC (proposta, jun. 2025)</w:t>
              <w:br/>
            </w: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before="120" w:after="0"/>
              <w:ind w:left="8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before="120" w:after="0"/>
              <w:ind w:left="8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6.º do Código do Animal (DL n.º 214/2013)</w:t>
              <w:br/>
            </w: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e 3 do art.º 13.º e n.ºs 1 e 2 do art.º 16.º do DL n.º 276/2001, de 17 de outubro</w:t>
              <w:br/>
            </w:r>
            <w:r>
              <w:rPr>
                <w:rFonts w:ascii="Calibri" w:hAnsi="Calibri"/>
                <w:b w:val="0"/>
                <w:i w:val="0"/>
                <w:color w:val="222222"/>
                <w:sz w:val="19"/>
              </w:rPr>
              <w:t>Artigo 13.º, n.º 1 — A observação diária dos animais e o seu maneio, a organização da dieta e o tratamento médico-veterinário devem ser assegurados por pessoal técnico competente e em número adequado à quantidade e espécies animais que alojam.</w:t>
            </w:r>
          </w:p>
          <w:p>
            <w:pPr>
              <w:spacing w:before="120" w:after="0"/>
              <w:ind w:left="80"/>
            </w:pPr>
            <w:r>
              <w:rPr>
                <w:rFonts w:ascii="Calibri" w:hAnsi="Calibri"/>
                <w:b w:val="0"/>
                <w:i w:val="0"/>
                <w:color w:val="222222"/>
                <w:sz w:val="19"/>
              </w:rPr>
              <w:t>Artigo 13.º, n.º 3 — Todos os animais devem ser alvo de inspeção diária, sendo de imediato prestados os primeiros cuidados aos que tiverem sinais que levem a suspeitar estarem doentes, lesionados ou com alterações comportamentais.</w:t>
            </w:r>
          </w:p>
          <w:p>
            <w:pPr>
              <w:spacing w:before="120" w:after="0"/>
              <w:ind w:left="80"/>
            </w:pPr>
            <w:r>
              <w:rPr>
                <w:rFonts w:ascii="Calibri" w:hAnsi="Calibri"/>
                <w:b w:val="0"/>
                <w:i w:val="0"/>
                <w:color w:val="222222"/>
                <w:sz w:val="19"/>
              </w:rPr>
              <w:t>Artigo 16.º, n.º 1 — Sem prejuízo de quaisquer medidas determinadas pela DGAV, deve existir um programa de profilaxia médica e sanitária devidamente elaborado e supervisionado pelo médico veterinário responsável e executado por profissionais competentes.</w:t>
            </w:r>
          </w:p>
          <w:p>
            <w:pPr>
              <w:spacing w:before="120" w:after="0"/>
              <w:ind w:left="80"/>
            </w:pPr>
            <w:r>
              <w:rPr>
                <w:rFonts w:ascii="Calibri" w:hAnsi="Calibri"/>
                <w:b w:val="0"/>
                <w:i w:val="0"/>
                <w:color w:val="222222"/>
                <w:sz w:val="19"/>
              </w:rPr>
              <w:t>Artigo 16.º, n.º 2 — No âmbito do número anterior, os animais devem ser sujeitos a exames médico-veterinários de rotina, vacinações e desparasitações sempre que aconselhável.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impõe inspeção diária por cuidadores, isolamento imediato de animais com bem-estar comprometido e condições específicas para reprodução em criadores (idade mínima da fêmea, frequência máxima de partos por ninhada, proibição de cobrição de gatas a lactar). A @legislacao (DL n.º 276/2001, art.ºs 13.º e 16.º) prevê inspeção diária e programa de profilaxia supervisionado por veterinário — alinhamento parcial com o @regulamento — mas não fixa condições sanitárias específicas para a reprodução em criadores. O @rgbeac (art.º 33.º) centra os cuidados de saúde no detentor em geral, sem distinguir obrigações reforçadas para operadores de criação. O @codigo (art.º 6.º) limita o dever de cuidados médico-veterinários ao animal ferido ou doente, sem obrigação de inspeção sistemática nem regras sanitárias de criação. A @legislacao vigente é a mais próxima do @regulamento neste eixo, mas apresenta lacuna relevante nas condições sanitárias específicas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