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1.37</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0"/>
        <w:ind w:left="567"/>
      </w:pPr>
      <w:r>
        <w:rPr>
          <w:b w:val="0"/>
          <w:i w:val="0"/>
        </w:rPr>
        <w:t>D-03. O treino começa entre os 6 e os 12 meses, o que não serve o cão classificado como perigoso já adulto</w:t>
      </w:r>
    </w:p>
    <w:p>
      <w:pPr>
        <w:spacing w:after="0"/>
        <w:ind w:left="567"/>
      </w:pPr>
      <w:r>
        <w:rPr>
          <w:b w:val="0"/>
          <w:i w:val="0"/>
        </w:rPr>
        <w:t>D-04. Na cedência de cão perigoso, o cedente não informa nem entrega nada, e o novo detentor fica com o atraso</w:t>
      </w:r>
    </w:p>
    <w:p>
      <w:pPr>
        <w:spacing w:after="0"/>
        <w:ind w:left="567"/>
      </w:pPr>
      <w:r>
        <w:rPr>
          <w:b w:val="0"/>
          <w:i w:val="0"/>
        </w:rPr>
        <w:t>D-05. O registo do treino no SIAC fica sem perfil de acesso, sem coima e sem regime transitório</w:t>
      </w:r>
    </w:p>
    <w:p>
      <w:pPr>
        <w:spacing w:after="0"/>
        <w:ind w:left="567"/>
      </w:pPr>
      <w:r>
        <w:rPr>
          <w:b w:val="0"/>
          <w:i w:val="0"/>
        </w:rPr>
        <w:t>D-06. Nada diz quem decide se um cão é cruzamento de raça potencialmente perigosa, com que critério, nem como se contesta</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pPr>
        <w:pStyle w:val="Heading2"/>
      </w:pPr>
      <w:r>
        <w:rPr>
          <w:i w:val="0"/>
          <w:color w:val="000000"/>
        </w:rPr>
        <w:t>D-03.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 art. 122.º, n.ºs 3 a 5; art. 126.º, n.º 6; art. 135.º, n.º 2; DL 315/2009, art. 15.º, n.ºs 3 e 4, art. 21.º, art. 28.º, n.º 2, e art. 38.º, n.º 1, al. m)</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w:t>
            </w:r>
          </w:p>
        </w:tc>
      </w:tr>
    </w:tbl>
    <w:p/>
    <w:p>
      <w:pPr>
        <w:pStyle w:val="Heading2"/>
      </w:pPr>
      <w:r>
        <w:rPr>
          <w:i w:val="0"/>
          <w:color w:val="000000"/>
        </w:rPr>
        <w:t>D-04.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 art. 73.º, n.ºs 2 e 5; art. 110.º, n.º 2; DL 315/2009, art. 20.º, n.º 2, al. c); DL 82/2019, art. 13.º, n.ºs 2 a 4; DL 9/2021, art. 5.º e art. 36.º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 D-03</w:t>
            </w:r>
          </w:p>
        </w:tc>
      </w:tr>
    </w:tbl>
    <w:p/>
    <w:p>
      <w:pPr>
        <w:pStyle w:val="Heading2"/>
      </w:pPr>
      <w:r>
        <w:rPr>
          <w:i w:val="0"/>
          <w:color w:val="000000"/>
        </w:rPr>
        <w:t>D-05.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 art. 122.º, n.º 4; art. 140.º; art. 73.º, n.º 1; DL 315/2009, art. 28.º, n.ºs 1 e 2, e art. 38.º, n.º 1, als. m) e p)</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D-04</w:t>
            </w:r>
          </w:p>
        </w:tc>
      </w:tr>
    </w:tbl>
    <w:p/>
    <w:p>
      <w:pPr>
        <w:pStyle w:val="Heading2"/>
      </w:pPr>
      <w:r>
        <w:rPr>
          <w:i w:val="0"/>
          <w:color w:val="000000"/>
        </w:rPr>
        <w:t>D-06.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 art. 79.º, n.º 7; art. 126.º, n.º 3; art. 120.º, n.º 5; DL 315/2009, art. 3.º, al. c), e art. 19.º, n.º 3; Portaria 422/2004, anexo; DL 276/2001, art. 53.º,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D-01</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D-03</w:t>
            </w:r>
          </w:p>
        </w:tc>
        <w:tc>
          <w:tcPr>
            <w:tcW w:w="5216" w:type="dxa"/>
          </w:tcPr>
          <w:p>
            <w:pPr>
              <w:spacing w:after="60"/>
            </w:pPr>
            <w:r/>
            <w:r>
              <w:rPr>
                <w:b w:val="0"/>
                <w:sz w:val="20"/>
              </w:rPr>
              <w:t>O treino começa entre os 6 e os 12 meses, o que não serve o cão classificado como perigoso já adulto</w:t>
            </w:r>
          </w:p>
        </w:tc>
        <w:tc>
          <w:tcPr>
            <w:tcW w:w="3969" w:type="dxa"/>
          </w:tcPr>
          <w:p>
            <w:pPr>
              <w:spacing w:after="60"/>
            </w:pPr>
            <w:r/>
            <w:r>
              <w:rPr>
                <w:b w:val="0"/>
                <w:sz w:val="20"/>
              </w:rPr>
              <w:t>art. 128.º,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D-04</w:t>
            </w:r>
          </w:p>
        </w:tc>
        <w:tc>
          <w:tcPr>
            <w:tcW w:w="5216" w:type="dxa"/>
          </w:tcPr>
          <w:p>
            <w:pPr>
              <w:spacing w:after="60"/>
            </w:pPr>
            <w:r/>
            <w:r>
              <w:rPr>
                <w:b w:val="0"/>
                <w:sz w:val="20"/>
              </w:rPr>
              <w:t>Na cedência de cão perigoso, o cedente não informa nem entrega nada, e o novo detentor fica com o atraso</w:t>
            </w:r>
          </w:p>
        </w:tc>
        <w:tc>
          <w:tcPr>
            <w:tcW w:w="3969" w:type="dxa"/>
          </w:tcPr>
          <w:p>
            <w:pPr>
              <w:spacing w:after="60"/>
            </w:pPr>
            <w:r/>
            <w:r>
              <w:rPr>
                <w:b w:val="0"/>
                <w:sz w:val="20"/>
              </w:rPr>
              <w:t>art. 127.º,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D-05</w:t>
            </w:r>
          </w:p>
        </w:tc>
        <w:tc>
          <w:tcPr>
            <w:tcW w:w="5216" w:type="dxa"/>
          </w:tcPr>
          <w:p>
            <w:pPr>
              <w:spacing w:after="60"/>
            </w:pPr>
            <w:r/>
            <w:r>
              <w:rPr>
                <w:b w:val="0"/>
                <w:sz w:val="20"/>
              </w:rPr>
              <w:t>O registo do treino no SIAC fica sem perfil de acesso, sem coima e sem regime transitório</w:t>
            </w:r>
          </w:p>
        </w:tc>
        <w:tc>
          <w:tcPr>
            <w:tcW w:w="3969" w:type="dxa"/>
          </w:tcPr>
          <w:p>
            <w:pPr>
              <w:spacing w:after="60"/>
            </w:pPr>
            <w:r/>
            <w:r>
              <w:rPr>
                <w:b w:val="0"/>
                <w:sz w:val="20"/>
              </w:rPr>
              <w:t>art. 135.º,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D-06</w:t>
            </w:r>
          </w:p>
        </w:tc>
        <w:tc>
          <w:tcPr>
            <w:tcW w:w="5216" w:type="dxa"/>
          </w:tcPr>
          <w:p>
            <w:pPr>
              <w:spacing w:after="60"/>
            </w:pPr>
            <w:r/>
            <w:r>
              <w:rPr>
                <w:b w:val="0"/>
                <w:sz w:val="20"/>
              </w:rPr>
              <w:t>Nada diz quem decide se um cão é cruzamento de raça potencialmente perigosa, com que critério, nem como se contesta</w:t>
            </w:r>
          </w:p>
        </w:tc>
        <w:tc>
          <w:tcPr>
            <w:tcW w:w="3969" w:type="dxa"/>
          </w:tcPr>
          <w:p>
            <w:pPr>
              <w:spacing w:after="60"/>
            </w:pPr>
            <w:r/>
            <w:r>
              <w:rPr>
                <w:b w:val="0"/>
                <w:sz w:val="20"/>
              </w:rPr>
              <w:t>art. 3.º, definição de «Animal potencialmente perigoso»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68</w:t>
            </w:r>
          </w:p>
        </w:tc>
        <w:tc>
          <w:tcPr>
            <w:tcW w:w="1701" w:type="dxa"/>
          </w:tcPr>
          <w:p>
            <w:pPr>
              <w:spacing w:after="60"/>
            </w:pPr>
            <w:r/>
            <w:r>
              <w:rPr>
                <w:b/>
                <w:sz w:val="20"/>
              </w:rPr>
              <w:t>85</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D-04, D-05,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D-04,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 D-03,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 D-04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D-05,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020" w:type="dxa"/>
          </w:tcPr>
          <w:p>
            <w:pPr>
              <w:spacing w:after="60"/>
            </w:pPr>
            <w:r/>
            <w:r>
              <w:rPr>
                <w:b w:val="0"/>
                <w:sz w:val="20"/>
              </w:rPr>
              <w:t>1.34</w:t>
            </w:r>
          </w:p>
        </w:tc>
        <w:tc>
          <w:tcPr>
            <w:tcW w:w="1417" w:type="dxa"/>
          </w:tcPr>
          <w:p>
            <w:pPr>
              <w:spacing w:after="60"/>
            </w:pPr>
            <w:r/>
            <w:r>
              <w:rPr>
                <w:b w:val="0"/>
                <w:sz w:val="20"/>
              </w:rPr>
              <w:t>23.10.2026</w:t>
            </w:r>
          </w:p>
        </w:tc>
        <w:tc>
          <w:tcPr>
            <w:tcW w:w="6633"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020" w:type="dxa"/>
          </w:tcPr>
          <w:p>
            <w:pPr>
              <w:spacing w:after="60"/>
            </w:pPr>
            <w:r/>
            <w:r>
              <w:rPr>
                <w:b w:val="0"/>
                <w:sz w:val="20"/>
              </w:rPr>
              <w:t>1.35</w:t>
            </w:r>
          </w:p>
        </w:tc>
        <w:tc>
          <w:tcPr>
            <w:tcW w:w="1417" w:type="dxa"/>
          </w:tcPr>
          <w:p>
            <w:pPr>
              <w:spacing w:after="60"/>
            </w:pPr>
            <w:r/>
            <w:r>
              <w:rPr>
                <w:b w:val="0"/>
                <w:sz w:val="20"/>
              </w:rPr>
              <w:t>23.10.2026</w:t>
            </w:r>
          </w:p>
        </w:tc>
        <w:tc>
          <w:tcPr>
            <w:tcW w:w="6633"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020" w:type="dxa"/>
          </w:tcPr>
          <w:p>
            <w:pPr>
              <w:spacing w:after="60"/>
            </w:pPr>
            <w:r/>
            <w:r>
              <w:rPr>
                <w:b w:val="0"/>
                <w:sz w:val="20"/>
              </w:rPr>
              <w:t>1.36</w:t>
            </w:r>
          </w:p>
        </w:tc>
        <w:tc>
          <w:tcPr>
            <w:tcW w:w="1417" w:type="dxa"/>
          </w:tcPr>
          <w:p>
            <w:pPr>
              <w:spacing w:after="60"/>
            </w:pPr>
            <w:r/>
            <w:r>
              <w:rPr>
                <w:b w:val="0"/>
                <w:sz w:val="20"/>
              </w:rPr>
              <w:t>23.10.2026</w:t>
            </w:r>
          </w:p>
        </w:tc>
        <w:tc>
          <w:tcPr>
            <w:tcW w:w="6633"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020" w:type="dxa"/>
          </w:tcPr>
          <w:p>
            <w:pPr>
              <w:spacing w:after="60"/>
            </w:pPr>
            <w:r/>
            <w:r>
              <w:rPr>
                <w:b w:val="0"/>
                <w:sz w:val="20"/>
              </w:rPr>
              <w:t>1.37</w:t>
            </w:r>
          </w:p>
        </w:tc>
        <w:tc>
          <w:tcPr>
            <w:tcW w:w="1417" w:type="dxa"/>
          </w:tcPr>
          <w:p>
            <w:pPr>
              <w:spacing w:after="60"/>
            </w:pPr>
            <w:r/>
            <w:r>
              <w:rPr>
                <w:b w:val="0"/>
                <w:sz w:val="20"/>
              </w:rPr>
              <w:t>23.10.2026</w:t>
            </w:r>
          </w:p>
        </w:tc>
        <w:tc>
          <w:tcPr>
            <w:tcW w:w="6633"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