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 e as suas consequências operativas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Decreto-Lei n.º 314/2003 não define «fogo». Aplica-se o sentido corrente e urbanístico. No Regulamento Geral das Edificações Urbanas, aprovado pelo Decreto-Lei n.º 38 382, de 7 de agosto de 1951, as noções de «habitação» e de «fogo» são usadas como sinónimos, definindo-se «área bruta da habitação» como a superfície total do fogo. Em estatística e na Ficha Técnica da Habitação, o fogo integra-se no conceito de alojamento familiar, abrangendo a habitação o fogo e as suas dependências — varandas, arrecadações, logradouros pavimentados, telheiros e alpendres.</w:t>
      </w:r>
    </w:p>
    <w:p>
      <w:pPr>
        <w:spacing w:before="0" w:after="140" w:line="293" w:lineRule="auto"/>
        <w:jc w:val="both"/>
      </w:pPr>
      <w:r>
        <w:rPr>
          <w:rFonts w:ascii="Aptos" w:hAnsi="Aptos" w:cs="Aptos" w:eastAsia="Aptos"/>
          <w:b w:val="0"/>
          <w:i w:val="0"/>
          <w:color w:val="2B2B2B"/>
          <w:sz w:val="20"/>
        </w:rPr>
        <w:t>Daqui decorrem três consequências operativas, e são decisivas.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lidos em compilador privado, por as fontes oficiais consultadas não terem devolvido esses artigos. </w:t>
      </w:r>
      <w:r>
        <w:rPr>
          <w:rFonts w:ascii="Aptos" w:hAnsi="Aptos" w:cs="Aptos" w:eastAsia="Aptos"/>
          <w:b/>
          <w:i w:val="0"/>
          <w:color w:val="2B2B2B"/>
          <w:sz w:val="20"/>
        </w:rPr>
        <w:t>A conferir</w:t>
      </w:r>
      <w:r>
        <w:rPr>
          <w:rFonts w:ascii="Aptos" w:hAnsi="Aptos" w:cs="Aptos" w:eastAsia="Aptos"/>
          <w:b w:val="0"/>
          <w:i w:val="0"/>
          <w:color w:val="2B2B2B"/>
          <w:sz w:val="20"/>
        </w:rPr>
        <w:t xml:space="preserve"> contra o texto oficial.</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