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3.0 (opção B).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3.0 (ensaio), com o conteúdo da versão 1.27</w:t>
            </w:r>
          </w:p>
        </w:tc>
      </w:tr>
      <w:tr>
        <w:tc>
          <w:tcPr>
            <w:tcW w:w="2551" w:type="dxa"/>
          </w:tcPr>
          <w:p>
            <w:pPr>
              <w:spacing w:after="60"/>
            </w:pPr>
            <w:r/>
            <w:r>
              <w:rPr>
                <w:b/>
                <w:sz w:val="20"/>
              </w:rPr>
              <w:t>Data</w:t>
            </w:r>
          </w:p>
        </w:tc>
        <w:tc>
          <w:tcPr>
            <w:tcW w:w="6520" w:type="dxa"/>
          </w:tcPr>
          <w:p>
            <w:pPr>
              <w:spacing w:after="60"/>
            </w:pPr>
            <w:r/>
            <w:r>
              <w:rPr>
                <w:b w:val="0"/>
                <w:sz w:val="20"/>
              </w:rPr>
              <w:t>21.10.2026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REG-01. Duas normas diferentes sobre que espécies são animais de companhia (art. 2.º)</w:t>
      </w:r>
    </w:p>
    <w:p>
      <w:pPr>
        <w:spacing w:after="0"/>
        <w:ind w:left="567"/>
      </w:pPr>
      <w:r>
        <w:rPr>
          <w:b w:val="0"/>
          <w:i w:val="0"/>
        </w:rPr>
        <w:t>CED-18. A definição de animal errante passa a abranger qualquer animal não identificado (art. 3.º)</w:t>
      </w:r>
    </w:p>
    <w:p>
      <w:pPr>
        <w:spacing w:after="0"/>
        <w:ind w:left="567"/>
      </w:pPr>
      <w:r>
        <w:rPr>
          <w:b w:val="0"/>
          <w:i w:val="0"/>
        </w:rPr>
        <w:t>TIT-01. A definição de titular depende só do registo (art. 3.º)</w:t>
      </w:r>
    </w:p>
    <w:p>
      <w:pPr>
        <w:spacing w:after="0"/>
        <w:ind w:left="567"/>
      </w:pPr>
      <w:r>
        <w:rPr>
          <w:b w:val="0"/>
          <w:i w:val="0"/>
        </w:rPr>
        <w:t>TIT-03. Sem regra sobre o valor do registo SIAC face à propriedade (art. 3.º)</w:t>
      </w:r>
    </w:p>
    <w:p>
      <w:pPr>
        <w:spacing w:after="0"/>
        <w:ind w:left="567"/>
      </w:pPr>
      <w:r>
        <w:rPr>
          <w:b w:val="0"/>
          <w:i w:val="0"/>
        </w:rPr>
        <w:t>TIT-09. «Titular ou operador» quando o operador já é titular (art. 3.º)</w:t>
      </w:r>
    </w:p>
    <w:p>
      <w:pPr>
        <w:spacing w:after="0"/>
        <w:ind w:left="567"/>
      </w:pPr>
      <w:r>
        <w:rPr>
          <w:b w:val="0"/>
          <w:i w:val="0"/>
        </w:rPr>
        <w:t>TIT-14. Família de acolhimento sem operador fica sem enquadramento (art. 3.º)</w:t>
      </w:r>
    </w:p>
    <w:p>
      <w:pPr>
        <w:spacing w:after="0"/>
        <w:ind w:left="567"/>
      </w:pPr>
      <w:r>
        <w:rPr>
          <w:b w:val="0"/>
          <w:i w:val="0"/>
        </w:rPr>
        <w:t>TIT-18. Animais deixados em centros veterinários (art. 3.º)</w:t>
      </w:r>
    </w:p>
    <w:p>
      <w:pPr>
        <w:spacing w:after="0"/>
        <w:ind w:left="567"/>
      </w:pPr>
      <w:r>
        <w:rPr>
          <w:b w:val="0"/>
          <w:i w:val="0"/>
        </w:rPr>
        <w:t>TIT-19. Nada diz quem é titular quando o animal não tem proprietário (art. 3.º)</w:t>
      </w:r>
    </w:p>
    <w:p>
      <w:pPr>
        <w:spacing w:after="40"/>
      </w:pPr>
    </w:p>
    <w:p>
      <w:pPr>
        <w:spacing w:after="40"/>
      </w:pPr>
      <w:r>
        <w:rPr>
          <w:b/>
          <w:i w:val="0"/>
        </w:rPr>
        <w:t>4. Capítulo II. Princípios Gerais</w:t>
      </w:r>
    </w:p>
    <w:p>
      <w:pPr>
        <w:spacing w:after="0"/>
        <w:ind w:left="567"/>
      </w:pPr>
      <w:r>
        <w:rPr>
          <w:b w:val="0"/>
          <w:i w:val="0"/>
        </w:rPr>
        <w:t>TIT-13. Quem responde pelos danos causados pelo animal (art. 6.º)</w:t>
      </w:r>
    </w:p>
    <w:p>
      <w:pPr>
        <w:spacing w:after="0"/>
        <w:ind w:left="567"/>
      </w:pPr>
      <w:r>
        <w:rPr>
          <w:b w:val="0"/>
          <w:i w:val="0"/>
        </w:rPr>
        <w:t>TIT-16. Detentores de facto que dizem tratar de animais errantes (art. 6.º)</w:t>
      </w:r>
    </w:p>
    <w:p>
      <w:pPr>
        <w:spacing w:after="0"/>
        <w:ind w:left="567"/>
      </w:pPr>
      <w:r>
        <w:rPr>
          <w:b w:val="0"/>
          <w:i w:val="0"/>
        </w:rPr>
        <w:t>BEM-01.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TIT-12. Redação por decidir no art. 22.º (art. 22.º)</w:t>
      </w:r>
    </w:p>
    <w:p>
      <w:pPr>
        <w:spacing w:after="0"/>
        <w:ind w:left="567"/>
      </w:pPr>
      <w:r>
        <w:rPr>
          <w:b w:val="0"/>
          <w:i w:val="0"/>
        </w:rPr>
        <w:t>BEM-02. Nada sobre animais de companhia em acidente grave ou catástrofe (art. 25.º)</w:t>
      </w:r>
    </w:p>
    <w:p>
      <w:pPr>
        <w:spacing w:after="0"/>
        <w:ind w:left="567"/>
      </w:pPr>
      <w:r>
        <w:rPr>
          <w:b w:val="0"/>
          <w:i w:val="0"/>
        </w:rPr>
        <w:t>EST-01. O encerramento de estabelecimentos fica sem medida cautelar, sem regra para os animais e sem efeito no registo (art. 50.º)</w:t>
      </w:r>
    </w:p>
    <w:p>
      <w:pPr>
        <w:spacing w:after="40"/>
      </w:pPr>
    </w:p>
    <w:p>
      <w:pPr>
        <w:spacing w:after="40"/>
      </w:pPr>
      <w:r>
        <w:rPr>
          <w:b/>
          <w:i w:val="0"/>
        </w:rPr>
        <w:t>6. Capítulo VI. Meios de contenção</w:t>
      </w:r>
    </w:p>
    <w:p>
      <w:pPr>
        <w:spacing w:after="0"/>
        <w:ind w:left="567"/>
      </w:pPr>
      <w:r>
        <w:rPr>
          <w:b w:val="0"/>
          <w:i w:val="0"/>
        </w:rPr>
        <w:t>CED-12.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TIT-02. Registo em nome de quem detém o animal e não de quem é dono (art. 69.º)</w:t>
      </w:r>
    </w:p>
    <w:p>
      <w:pPr>
        <w:spacing w:after="0"/>
        <w:ind w:left="567"/>
      </w:pPr>
      <w:r>
        <w:rPr>
          <w:b w:val="0"/>
          <w:i w:val="0"/>
        </w:rPr>
        <w:t>TIT-08. Animais perigosos: o operador pode ser uma sociedade, o titular não (art. 69.º)</w:t>
      </w:r>
    </w:p>
    <w:p>
      <w:pPr>
        <w:spacing w:after="0"/>
        <w:ind w:left="567"/>
      </w:pPr>
      <w:r>
        <w:rPr>
          <w:b w:val="0"/>
          <w:i w:val="0"/>
        </w:rPr>
        <w:t>TIT-10. Terminologia do CRO ainda não uniforme (art. 70.º)</w:t>
      </w:r>
    </w:p>
    <w:p>
      <w:pPr>
        <w:spacing w:after="0"/>
        <w:ind w:left="567"/>
      </w:pPr>
      <w:r>
        <w:rPr>
          <w:b w:val="0"/>
          <w:i w:val="0"/>
        </w:rPr>
        <w:t>TIT-05. A presunção de abandono remete para normas erradas e não diz a quem se aplica (art. 73.º)</w:t>
      </w:r>
    </w:p>
    <w:p>
      <w:pPr>
        <w:spacing w:after="0"/>
        <w:ind w:left="567"/>
      </w:pPr>
      <w:r>
        <w:rPr>
          <w:b w:val="0"/>
          <w:i w:val="0"/>
        </w:rPr>
        <w:t>TIT-17. Prazos de comunicação ao SIAC mais pesados do que o Regulamento europeu (art. 73.º)</w:t>
      </w:r>
    </w:p>
    <w:p>
      <w:pPr>
        <w:spacing w:after="0"/>
        <w:ind w:left="567"/>
      </w:pPr>
      <w:r>
        <w:rPr>
          <w:b w:val="0"/>
          <w:i w:val="0"/>
        </w:rPr>
        <w:t>TIT-04.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CED-03. Proibição nacional de alimentar animais na via pública (art. 84.º)</w:t>
      </w:r>
    </w:p>
    <w:p>
      <w:pPr>
        <w:spacing w:after="0"/>
        <w:ind w:left="567"/>
      </w:pPr>
      <w:r>
        <w:rPr>
          <w:b w:val="0"/>
          <w:i w:val="0"/>
        </w:rPr>
        <w:t>CED-17. Plano municipal de controlo de errantes sem conteúdo mínimo nem consequências (art. 85.º)</w:t>
      </w:r>
    </w:p>
    <w:p>
      <w:pPr>
        <w:spacing w:after="0"/>
        <w:ind w:left="567"/>
      </w:pPr>
      <w:r>
        <w:rPr>
          <w:b w:val="0"/>
          <w:i w:val="0"/>
        </w:rPr>
        <w:t>CED-01. O CED passa a ser só uma faculdade das câmaras (art. 86.º)</w:t>
      </w:r>
    </w:p>
    <w:p>
      <w:pPr>
        <w:spacing w:after="0"/>
        <w:ind w:left="567"/>
      </w:pPr>
      <w:r>
        <w:rPr>
          <w:b w:val="0"/>
          <w:i w:val="0"/>
        </w:rPr>
        <w:t>CED-02. O cuidador de colónia não existe no texto (art. 86.º)</w:t>
      </w:r>
    </w:p>
    <w:p>
      <w:pPr>
        <w:spacing w:after="0"/>
        <w:ind w:left="567"/>
      </w:pPr>
      <w:r>
        <w:rPr>
          <w:b w:val="0"/>
          <w:i w:val="0"/>
        </w:rPr>
        <w:t>CED-05. Passagem obrigatória pelo CRO antes de o gato entrar na colónia (art. 86.º)</w:t>
      </w:r>
    </w:p>
    <w:p>
      <w:pPr>
        <w:spacing w:after="0"/>
        <w:ind w:left="567"/>
      </w:pPr>
      <w:r>
        <w:rPr>
          <w:b w:val="0"/>
          <w:i w:val="0"/>
        </w:rPr>
        <w:t>CED-06. Exclusão dos cães do CED (art. 86.º)</w:t>
      </w:r>
    </w:p>
    <w:p>
      <w:pPr>
        <w:spacing w:after="0"/>
        <w:ind w:left="567"/>
      </w:pPr>
      <w:r>
        <w:rPr>
          <w:b w:val="0"/>
          <w:i w:val="0"/>
        </w:rPr>
        <w:t>CED-07. Remissões e numeração erradas no artigo do CED (art. 86.º)</w:t>
      </w:r>
    </w:p>
    <w:p>
      <w:pPr>
        <w:spacing w:after="0"/>
        <w:ind w:left="567"/>
      </w:pPr>
      <w:r>
        <w:rPr>
          <w:b w:val="0"/>
          <w:i w:val="0"/>
        </w:rPr>
        <w:t>CED-08. Entidade promotora, entidade responsável e titular: quem responde pela colónia (art. 86.º)</w:t>
      </w:r>
    </w:p>
    <w:p>
      <w:pPr>
        <w:spacing w:after="0"/>
        <w:ind w:left="567"/>
      </w:pPr>
      <w:r>
        <w:rPr>
          <w:b w:val="0"/>
          <w:i w:val="0"/>
        </w:rPr>
        <w:t>CED-09. Registo da colónia no SIAC sem conteúdo definido (art. 86.º)</w:t>
      </w:r>
    </w:p>
    <w:p>
      <w:pPr>
        <w:spacing w:after="0"/>
        <w:ind w:left="567"/>
      </w:pPr>
      <w:r>
        <w:rPr>
          <w:b w:val="0"/>
          <w:i w:val="0"/>
        </w:rPr>
        <w:t>CED-11. CED e conservação da natureza (art. 86.º)</w:t>
      </w:r>
    </w:p>
    <w:p>
      <w:pPr>
        <w:spacing w:after="0"/>
        <w:ind w:left="567"/>
      </w:pPr>
      <w:r>
        <w:rPr>
          <w:b w:val="0"/>
          <w:i w:val="0"/>
        </w:rPr>
        <w:t>CED-13. Crias e gatos sociáveis: retirar ou devolver (art. 86.º)</w:t>
      </w:r>
    </w:p>
    <w:p>
      <w:pPr>
        <w:spacing w:after="0"/>
        <w:ind w:left="567"/>
      </w:pPr>
      <w:r>
        <w:rPr>
          <w:b w:val="0"/>
          <w:i w:val="0"/>
        </w:rPr>
        <w:t>CED-14. Suspensão do programa e recolha dos gatos sem garantias (art. 86.º)</w:t>
      </w:r>
    </w:p>
    <w:p>
      <w:pPr>
        <w:spacing w:after="0"/>
        <w:ind w:left="567"/>
      </w:pPr>
      <w:r>
        <w:rPr>
          <w:b w:val="0"/>
          <w:i w:val="0"/>
        </w:rPr>
        <w:t>CED-15. Meios: médicos veterinários municipais e financiamento (art. 86.º)</w:t>
      </w:r>
    </w:p>
    <w:p>
      <w:pPr>
        <w:spacing w:after="0"/>
        <w:ind w:left="567"/>
      </w:pPr>
      <w:r>
        <w:rPr>
          <w:b w:val="0"/>
          <w:i w:val="0"/>
        </w:rPr>
        <w:t>CED-16. Conflito com vizinhos e dimensão da colónia (art. 86.º)</w:t>
      </w:r>
    </w:p>
    <w:p>
      <w:pPr>
        <w:spacing w:after="0"/>
        <w:ind w:left="567"/>
      </w:pPr>
      <w:r>
        <w:rPr>
          <w:b w:val="0"/>
          <w:i w:val="0"/>
        </w:rPr>
        <w:t>CED-10. Colónias em prédios privados (art. 87.º)</w:t>
      </w:r>
    </w:p>
    <w:p>
      <w:pPr>
        <w:spacing w:after="0"/>
        <w:ind w:left="567"/>
      </w:pPr>
      <w:r>
        <w:rPr>
          <w:b w:val="0"/>
          <w:i w:val="0"/>
        </w:rPr>
        <w:t>CED-04. Só as câmaras podem capturar, mas o CED pode ser gerido por outras entidades (art. 91.º)</w:t>
      </w:r>
    </w:p>
    <w:p>
      <w:pPr>
        <w:spacing w:after="0"/>
        <w:ind w:left="567"/>
      </w:pPr>
      <w:r>
        <w:rPr>
          <w:b w:val="0"/>
          <w:i w:val="0"/>
        </w:rPr>
        <w:t>CED-19. A Lei 75/2013 ainda atribui às câmaras o abate de canídeos e gatídeos (art. 91.º)</w:t>
      </w:r>
    </w:p>
    <w:p>
      <w:pPr>
        <w:spacing w:after="0"/>
        <w:ind w:left="567"/>
      </w:pPr>
      <w:r>
        <w:rPr>
          <w:b w:val="0"/>
          <w:i w:val="0"/>
        </w:rPr>
        <w:t>SAN-02. A recolha por razões de bem-estar passa da DGAV para as câmaras e o destino para o médico veterinário municipal (art. 91.º)</w:t>
      </w:r>
    </w:p>
    <w:p>
      <w:pPr>
        <w:spacing w:after="0"/>
        <w:ind w:left="567"/>
      </w:pPr>
      <w:r>
        <w:rPr>
          <w:b w:val="0"/>
          <w:i w:val="0"/>
        </w:rPr>
        <w:t>TIT-15. Quem encontra um animal passa a poder ser punido (art. 91.º)</w:t>
      </w:r>
    </w:p>
    <w:p>
      <w:pPr>
        <w:spacing w:after="0"/>
        <w:ind w:left="567"/>
      </w:pPr>
      <w:r>
        <w:rPr>
          <w:b w:val="0"/>
          <w:i w:val="0"/>
        </w:rPr>
        <w:t>TIT-20. Quem acolhe um animal errante pode ficar sem saída lícita (art. 94.º)</w:t>
      </w:r>
    </w:p>
    <w:p>
      <w:pPr>
        <w:spacing w:after="0"/>
        <w:ind w:left="567"/>
      </w:pPr>
      <w:r>
        <w:rPr>
          <w:b w:val="0"/>
          <w:i w:val="0"/>
        </w:rPr>
        <w:t>TIT-21. A presunção de abandono aos 15 dias não ressalva animais apreendidos nem animais socorridos em emergência (art. 98.º)</w:t>
      </w:r>
    </w:p>
    <w:p>
      <w:pPr>
        <w:spacing w:after="40"/>
      </w:pPr>
    </w:p>
    <w:p>
      <w:pPr>
        <w:spacing w:after="40"/>
      </w:pPr>
      <w:r>
        <w:rPr>
          <w:b/>
          <w:i w:val="0"/>
        </w:rPr>
        <w:t>9. Capítulo XIV. Detenção de animais perigosos ou potencialmente perigosos</w:t>
      </w:r>
    </w:p>
    <w:p>
      <w:pPr>
        <w:spacing w:after="0"/>
        <w:ind w:left="567"/>
      </w:pPr>
      <w:r>
        <w:rPr>
          <w:b w:val="0"/>
          <w:i w:val="0"/>
        </w:rPr>
        <w:t>PER-01. Duas vias para retirar a classificação de perigoso, sem ligação entre elas (art. 120.º)</w:t>
      </w:r>
    </w:p>
    <w:p>
      <w:pPr>
        <w:spacing w:after="40"/>
      </w:pPr>
    </w:p>
    <w:p>
      <w:pPr>
        <w:spacing w:after="40"/>
      </w:pPr>
      <w:r>
        <w:rPr>
          <w:b/>
          <w:i w:val="0"/>
        </w:rPr>
        <w:t>10. Capítulo XV. Medidas administrativas, fiscalização e contraordenações</w:t>
      </w:r>
    </w:p>
    <w:p>
      <w:pPr>
        <w:spacing w:after="0"/>
        <w:ind w:left="567"/>
      </w:pPr>
      <w:r>
        <w:rPr>
          <w:b w:val="0"/>
          <w:i w:val="0"/>
        </w:rPr>
        <w:t>SAN-03. A apreensão provisória serve só as contraordenações e admite devolver os animais ao local de origem (art. 139.º)</w:t>
      </w:r>
    </w:p>
    <w:p>
      <w:pPr>
        <w:spacing w:after="0"/>
        <w:ind w:left="567"/>
      </w:pPr>
      <w:r>
        <w:rPr>
          <w:b w:val="0"/>
          <w:i w:val="0"/>
        </w:rPr>
        <w:t>SAN-01. Os deveres dos CRO e o relatório anual ficam sem coima (art. 140.º)</w:t>
      </w:r>
    </w:p>
    <w:p>
      <w:pPr>
        <w:spacing w:after="0"/>
        <w:ind w:left="567"/>
      </w:pPr>
      <w:r>
        <w:rPr>
          <w:b w:val="0"/>
          <w:i w:val="0"/>
        </w:rPr>
        <w:t>TIT-06. O abandono não aparece como contraordenação (art. 140.º)</w:t>
      </w:r>
    </w:p>
    <w:p>
      <w:pPr>
        <w:spacing w:after="0"/>
        <w:ind w:left="567"/>
      </w:pPr>
      <w:r>
        <w:rPr>
          <w:b w:val="0"/>
          <w:i w:val="0"/>
        </w:rPr>
        <w:t>TIT-11. Contraordenação dirigida só aos detentores (art. 140.º)</w:t>
      </w:r>
    </w:p>
    <w:p>
      <w:pPr>
        <w:spacing w:after="0"/>
        <w:ind w:left="567"/>
      </w:pPr>
      <w:r>
        <w:rPr>
          <w:b w:val="0"/>
          <w:i w:val="0"/>
        </w:rPr>
        <w:t>SAN-04. As sanções acessórias perdem a interdição do exercício da atividade (art. 141.º)</w:t>
      </w:r>
    </w:p>
    <w:p>
      <w:pPr>
        <w:spacing w:after="40"/>
      </w:pPr>
    </w:p>
    <w:p>
      <w:pPr>
        <w:spacing w:after="40"/>
      </w:pPr>
      <w:r>
        <w:rPr>
          <w:b/>
          <w:i w:val="0"/>
        </w:rPr>
        <w:t>11. Capítulo XVI. Disposições complementares, finais e transitórias</w:t>
      </w:r>
    </w:p>
    <w:p>
      <w:pPr>
        <w:spacing w:after="0"/>
        <w:ind w:left="567"/>
      </w:pPr>
      <w:r>
        <w:rPr>
          <w:b w:val="0"/>
          <w:i w:val="0"/>
        </w:rPr>
        <w:t>FIN-01. A revogação total da Lei 92/95 apaga normas que não tratam de animais de companhia (art. 149.º)</w:t>
      </w:r>
    </w:p>
    <w:p>
      <w:pPr>
        <w:spacing w:after="0"/>
        <w:ind w:left="567"/>
      </w:pPr>
      <w:r>
        <w:rPr>
          <w:b w:val="0"/>
          <w:i w:val="0"/>
        </w:rPr>
        <w:t>FIN-02. O DL 74/2007 é ressalvado e revogado ao mesmo tempo (art. 149.º)</w:t>
      </w:r>
    </w:p>
    <w:p>
      <w:pPr>
        <w:spacing w:after="0"/>
        <w:ind w:left="567"/>
      </w:pPr>
      <w:r>
        <w:rPr>
          <w:b w:val="0"/>
          <w:i w:val="0"/>
        </w:rPr>
        <w:t>TIT-07. As portarias mantidas usam detentor no sentido antigo (art. 149.º)</w:t>
      </w:r>
    </w:p>
    <w:p>
      <w:pPr>
        <w:spacing w:after="40"/>
      </w:pPr>
    </w:p>
    <w:p>
      <w:pPr>
        <w:spacing w:after="40"/>
      </w:pPr>
      <w:r>
        <w:rPr>
          <w:b/>
          <w:i w:val="0"/>
        </w:rPr>
        <w:t>12.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anteriores</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formado pela sigla do seu tema principal e por um número sequencial dentro desse tema: TIT-01 é a primeira ficha de titularidade, CED-07 a sétima de CED. O código não depende da numeração do RGAC e nunca muda. Quando um problema fica resolvido, a ficha mantém-se com o estado Resolvido.</w:t>
      </w:r>
    </w:p>
    <w:p>
      <w:r>
        <w:rPr>
          <w:b w:val="0"/>
          <w:i w:val="0"/>
        </w:rPr>
        <w:t>Uma ficha pode tocar mais de um tema. O tema principal dá o código; os outros aparecem como etiquetas. O Anexo E junta as fichas de cada tema, incluindo as que o têm como tema secundário.</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TIT-01, TIT-03, TIT-09, TIT-14, TIT-18, TIT-19, TIT-13, TIT-16, TIT-12, TIT-02, TIT-08, TIT-10, TIT-05, TIT-17, TIT-04, TIT-15, TIT-20, TIT-21, TIT-06, TIT-11, TIT-07.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CED-18, CED-12, CED-03, CED-17, CED-01, CED-02, CED-05, CED-06, CED-07, CED-08, CED-09, CED-11, CED-13, CED-14, CED-15, CED-16, CED-10, CED-04, CED-19, TIT-20.</w:t>
      </w:r>
    </w:p>
    <w:p>
      <w:r>
        <w:br w:type="page"/>
      </w:r>
    </w:p>
    <w:p>
      <w:pPr>
        <w:pStyle w:val="Heading1"/>
      </w:pPr>
      <w:r>
        <w:rPr>
          <w:i w:val="0"/>
          <w:color w:val="000000"/>
        </w:rPr>
        <w:t>3. Capítulo I. Disposições Gerais</w:t>
      </w:r>
    </w:p>
    <w:p>
      <w:pPr>
        <w:pStyle w:val="Heading2"/>
      </w:pPr>
      <w:r>
        <w:rPr>
          <w:i w:val="0"/>
          <w:color w:val="000000"/>
        </w:rPr>
        <w:t>REG-01.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CED-12).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CED-12, TIT-15</w:t>
            </w:r>
          </w:p>
        </w:tc>
      </w:tr>
    </w:tbl>
    <w:p/>
    <w:p>
      <w:pPr>
        <w:pStyle w:val="Heading2"/>
      </w:pPr>
      <w:r>
        <w:rPr>
          <w:i w:val="0"/>
          <w:color w:val="000000"/>
        </w:rPr>
        <w:t>TIT-01.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TIT-02, TIT-03</w:t>
            </w:r>
          </w:p>
        </w:tc>
      </w:tr>
    </w:tbl>
    <w:p/>
    <w:p>
      <w:pPr>
        <w:pStyle w:val="Heading2"/>
      </w:pPr>
      <w:r>
        <w:rPr>
          <w:i w:val="0"/>
          <w:color w:val="000000"/>
        </w:rPr>
        <w:t>TIT-03.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TIT-20).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TIT-13, CED-02, TIT-20</w:t>
            </w:r>
          </w:p>
        </w:tc>
      </w:tr>
    </w:tbl>
    <w:p/>
    <w:p>
      <w:pPr>
        <w:pStyle w:val="Heading2"/>
      </w:pPr>
      <w:r>
        <w:rPr>
          <w:i w:val="0"/>
          <w:color w:val="000000"/>
        </w:rPr>
        <w:t>TIT-18.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 TIT-06</w:t>
            </w:r>
          </w:p>
        </w:tc>
      </w:tr>
    </w:tbl>
    <w:p/>
    <w:p>
      <w:pPr>
        <w:pStyle w:val="Heading2"/>
      </w:pPr>
      <w:r>
        <w:rPr>
          <w:i w:val="0"/>
          <w:color w:val="000000"/>
        </w:rPr>
        <w:t>TIT-19.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TIT-03, e acrescentar uma norma supletiva: não havendo proprietário conhecido, é titular a entidade a quem a lei comete a responsabilidade pelo animal, designadamente a câmara municipal, através do CRO, nos casos de recolha e nos programas CED. Esta proposta qualifica a da ficha TIT-01: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TIT-02, TIT-03, CED-08</w:t>
            </w:r>
          </w:p>
        </w:tc>
      </w:tr>
    </w:tbl>
    <w:p/>
    <w:p>
      <w:r>
        <w:br w:type="page"/>
      </w:r>
    </w:p>
    <w:p>
      <w:pPr>
        <w:pStyle w:val="Heading1"/>
      </w:pPr>
      <w:r>
        <w:rPr>
          <w:i w:val="0"/>
          <w:color w:val="000000"/>
        </w:rPr>
        <w:t>4. Capítulo II. Princípios Gerais</w:t>
      </w:r>
    </w:p>
    <w:p>
      <w:pPr>
        <w:pStyle w:val="Heading2"/>
      </w:pPr>
      <w:r>
        <w:rPr>
          <w:i w:val="0"/>
          <w:color w:val="000000"/>
        </w:rPr>
        <w:t>TIT-13.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CED-08</w:t>
            </w:r>
          </w:p>
        </w:tc>
      </w:tr>
    </w:tbl>
    <w:p/>
    <w:p>
      <w:pPr>
        <w:pStyle w:val="Heading2"/>
      </w:pPr>
      <w:r>
        <w:rPr>
          <w:i w:val="0"/>
          <w:color w:val="000000"/>
        </w:rPr>
        <w:t>TIT-16.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CED-10</w:t>
            </w:r>
          </w:p>
        </w:tc>
      </w:tr>
    </w:tbl>
    <w:p/>
    <w:p>
      <w:pPr>
        <w:pStyle w:val="Heading2"/>
      </w:pPr>
      <w:r>
        <w:rPr>
          <w:i w:val="0"/>
          <w:color w:val="000000"/>
        </w:rPr>
        <w:t>BEM-01.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TIT-12.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BEM-02.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TIT-21).</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TIT-21</w:t>
            </w:r>
          </w:p>
        </w:tc>
      </w:tr>
    </w:tbl>
    <w:p/>
    <w:p>
      <w:pPr>
        <w:pStyle w:val="Heading2"/>
      </w:pPr>
      <w:r>
        <w:rPr>
          <w:i w:val="0"/>
          <w:color w:val="000000"/>
        </w:rPr>
        <w:t>EST-01.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w:t>
            </w:r>
          </w:p>
          <w:p>
            <w:pPr>
              <w:spacing w:after="60"/>
            </w:pPr>
            <w:r>
              <w:rPr>
                <w:b w:val="0"/>
                <w:sz w:val="20"/>
              </w:rPr>
              <w:t>art. 49.º, n.º 2</w:t>
            </w:r>
          </w:p>
          <w:p>
            <w:pPr>
              <w:spacing w:after="60"/>
            </w:pPr>
            <w:r>
              <w:rPr>
                <w:b w:val="0"/>
                <w:sz w:val="20"/>
              </w:rPr>
              <w:t>art. 51.º</w:t>
            </w:r>
          </w:p>
          <w:p>
            <w:pPr>
              <w:spacing w:after="60"/>
            </w:pPr>
            <w:r>
              <w:rPr>
                <w:b w:val="0"/>
                <w:sz w:val="20"/>
              </w:rPr>
              <w:t>art. 139.º, n.º 1</w:t>
            </w:r>
          </w:p>
          <w:p>
            <w:pPr>
              <w:spacing w:after="60"/>
            </w:pPr>
            <w:r>
              <w:rPr>
                <w:b w:val="0"/>
                <w:sz w:val="20"/>
              </w:rPr>
              <w:t>art. 141.º, n.º 1</w:t>
            </w:r>
          </w:p>
          <w:p>
            <w:pPr>
              <w:spacing w:after="60"/>
            </w:pPr>
            <w:r>
              <w:rPr>
                <w:b w:val="0"/>
                <w:sz w:val="20"/>
              </w:rPr>
              <w:t>Artigo principal: art. 50.º, Suspensão de atividade e encerramento dos estabelecimentos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Estabelecimentos e operadores; Bem-estar e deveres de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SAN-04).</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SAN-04, SAN-03, SAN-02, BEM-02</w:t>
            </w:r>
          </w:p>
        </w:tc>
      </w:tr>
    </w:tbl>
    <w:p/>
    <w:p>
      <w:r>
        <w:br w:type="page"/>
      </w:r>
    </w:p>
    <w:p>
      <w:pPr>
        <w:pStyle w:val="Heading1"/>
      </w:pPr>
      <w:r>
        <w:rPr>
          <w:i w:val="0"/>
          <w:color w:val="000000"/>
        </w:rPr>
        <w:t>6. Capítulo VI. Meios de contenção</w:t>
      </w:r>
    </w:p>
    <w:p>
      <w:pPr>
        <w:pStyle w:val="Heading2"/>
      </w:pPr>
      <w:r>
        <w:rPr>
          <w:i w:val="0"/>
          <w:color w:val="000000"/>
        </w:rPr>
        <w:t>CED-12.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TIT-02.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(TIT-01),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TIT-14</w:t>
            </w:r>
          </w:p>
        </w:tc>
      </w:tr>
    </w:tbl>
    <w:p/>
    <w:p>
      <w:pPr>
        <w:pStyle w:val="Heading2"/>
      </w:pPr>
      <w:r>
        <w:rPr>
          <w:i w:val="0"/>
          <w:color w:val="000000"/>
        </w:rPr>
        <w:t>TIT-08.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TIT-10.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TIT-05.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TIT-04, TIT-06</w:t>
            </w:r>
          </w:p>
        </w:tc>
      </w:tr>
    </w:tbl>
    <w:p/>
    <w:p>
      <w:pPr>
        <w:pStyle w:val="Heading2"/>
      </w:pPr>
      <w:r>
        <w:rPr>
          <w:i w:val="0"/>
          <w:color w:val="000000"/>
        </w:rPr>
        <w:t>TIT-17.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(TIT-05).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r>
        <w:br w:type="page"/>
      </w:r>
    </w:p>
    <w:p>
      <w:pPr>
        <w:pStyle w:val="Heading1"/>
      </w:pPr>
      <w:r>
        <w:rPr>
          <w:i w:val="0"/>
          <w:color w:val="000000"/>
        </w:rPr>
        <w:t>8. Capítulo X. Gestão das populações animais</w:t>
      </w:r>
    </w:p>
    <w:p>
      <w:pPr>
        <w:pStyle w:val="Heading2"/>
      </w:pPr>
      <w:r>
        <w:rPr>
          <w:i w:val="0"/>
          <w:color w:val="000000"/>
        </w:rPr>
        <w:t>CED-03.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(CED-02) e com o CED dependente de autorização (CED-01),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CED-09</w:t>
            </w:r>
          </w:p>
        </w:tc>
      </w:tr>
    </w:tbl>
    <w:p/>
    <w:p>
      <w:pPr>
        <w:pStyle w:val="Heading2"/>
      </w:pPr>
      <w:r>
        <w:rPr>
          <w:i w:val="0"/>
          <w:color w:val="000000"/>
        </w:rPr>
        <w:t>CED-01.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CED-19).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CED-19</w:t>
            </w:r>
          </w:p>
        </w:tc>
      </w:tr>
    </w:tbl>
    <w:p/>
    <w:p>
      <w:pPr>
        <w:pStyle w:val="Heading2"/>
      </w:pPr>
      <w:r>
        <w:rPr>
          <w:i w:val="0"/>
          <w:color w:val="000000"/>
        </w:rPr>
        <w:t>CED-02.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(TIT-13) e à proibição de alimentar (CED-03).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CED-03, TIT-13, TIT-14</w:t>
            </w:r>
          </w:p>
        </w:tc>
      </w:tr>
    </w:tbl>
    <w:p/>
    <w:p>
      <w:pPr>
        <w:pStyle w:val="Heading2"/>
      </w:pPr>
      <w:r>
        <w:rPr>
          <w:i w:val="0"/>
          <w:color w:val="000000"/>
        </w:rPr>
        <w:t>CED-05.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TIT-13, CED-04</w:t>
            </w:r>
          </w:p>
        </w:tc>
      </w:tr>
    </w:tbl>
    <w:p/>
    <w:p>
      <w:pPr>
        <w:pStyle w:val="Heading2"/>
      </w:pPr>
      <w:r>
        <w:rPr>
          <w:i w:val="0"/>
          <w:color w:val="000000"/>
        </w:rPr>
        <w:t>CED-09.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TIT-15</w:t>
            </w:r>
          </w:p>
        </w:tc>
      </w:tr>
    </w:tbl>
    <w:p/>
    <w:p>
      <w:pPr>
        <w:pStyle w:val="Heading2"/>
      </w:pPr>
      <w:r>
        <w:rPr>
          <w:i w:val="0"/>
          <w:color w:val="000000"/>
        </w:rPr>
        <w:t>CED-14.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CED-07</w:t>
            </w:r>
          </w:p>
        </w:tc>
      </w:tr>
    </w:tbl>
    <w:p/>
    <w:p>
      <w:pPr>
        <w:pStyle w:val="Heading2"/>
      </w:pPr>
      <w:r>
        <w:rPr>
          <w:i w:val="0"/>
          <w:color w:val="000000"/>
        </w:rPr>
        <w:t>CED-15.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CED-14</w:t>
            </w:r>
          </w:p>
        </w:tc>
      </w:tr>
    </w:tbl>
    <w:p/>
    <w:p>
      <w:pPr>
        <w:pStyle w:val="Heading2"/>
      </w:pPr>
      <w:r>
        <w:rPr>
          <w:i w:val="0"/>
          <w:color w:val="000000"/>
        </w:rPr>
        <w:t>CED-10.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TIT-16</w:t>
            </w:r>
          </w:p>
        </w:tc>
      </w:tr>
    </w:tbl>
    <w:p/>
    <w:p>
      <w:pPr>
        <w:pStyle w:val="Heading2"/>
      </w:pPr>
      <w:r>
        <w:rPr>
          <w:i w:val="0"/>
          <w:color w:val="000000"/>
        </w:rPr>
        <w:t>CED-04.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CED-08</w:t>
            </w:r>
          </w:p>
        </w:tc>
      </w:tr>
    </w:tbl>
    <w:p/>
    <w:p>
      <w:pPr>
        <w:pStyle w:val="Heading2"/>
      </w:pPr>
      <w:r>
        <w:rPr>
          <w:i w:val="0"/>
          <w:color w:val="000000"/>
        </w:rPr>
        <w:t>CED-19.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w:t>
            </w:r>
          </w:p>
        </w:tc>
      </w:tr>
    </w:tbl>
    <w:p/>
    <w:p>
      <w:pPr>
        <w:pStyle w:val="Heading2"/>
      </w:pPr>
      <w:r>
        <w:rPr>
          <w:i w:val="0"/>
          <w:color w:val="000000"/>
        </w:rPr>
        <w:t>SAN-02.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FIN-01)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 SAN-03, TIT-21</w:t>
            </w:r>
          </w:p>
        </w:tc>
      </w:tr>
    </w:tbl>
    <w:p/>
    <w:p>
      <w:pPr>
        <w:pStyle w:val="Heading2"/>
      </w:pPr>
      <w:r>
        <w:rPr>
          <w:i w:val="0"/>
          <w:color w:val="000000"/>
        </w:rPr>
        <w:t>TIT-15.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CED-04).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CED-16, CED-04, TIT-20</w:t>
            </w:r>
          </w:p>
        </w:tc>
      </w:tr>
    </w:tbl>
    <w:p/>
    <w:p>
      <w:pPr>
        <w:pStyle w:val="Heading2"/>
      </w:pPr>
      <w:r>
        <w:rPr>
          <w:i w:val="0"/>
          <w:color w:val="000000"/>
        </w:rPr>
        <w:t>TIT-20.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TIT-15).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TIT-15</w:t>
            </w:r>
          </w:p>
        </w:tc>
      </w:tr>
    </w:tbl>
    <w:p/>
    <w:p>
      <w:pPr>
        <w:pStyle w:val="Heading2"/>
      </w:pPr>
      <w:r>
        <w:rPr>
          <w:i w:val="0"/>
          <w:color w:val="000000"/>
        </w:rPr>
        <w:t>TIT-21.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BEM-02, TIT-05</w:t>
            </w:r>
          </w:p>
        </w:tc>
      </w:tr>
    </w:tbl>
    <w:p/>
    <w:p>
      <w:r>
        <w:br w:type="page"/>
      </w:r>
    </w:p>
    <w:p>
      <w:pPr>
        <w:pStyle w:val="Heading1"/>
      </w:pPr>
      <w:r>
        <w:rPr>
          <w:i w:val="0"/>
          <w:color w:val="000000"/>
        </w:rPr>
        <w:t>9. Capítulo XIV. Detenção de animais perigosos ou potencialmente perigosos</w:t>
      </w:r>
    </w:p>
    <w:p>
      <w:pPr>
        <w:pStyle w:val="Heading2"/>
      </w:pPr>
      <w:r>
        <w:rPr>
          <w:i w:val="0"/>
          <w:color w:val="000000"/>
        </w:rPr>
        <w:t>PER-01.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w:t>
            </w:r>
          </w:p>
          <w:p>
            <w:pPr>
              <w:spacing w:after="60"/>
            </w:pPr>
            <w:r>
              <w:rPr>
                <w:b w:val="0"/>
                <w:sz w:val="20"/>
              </w:rPr>
              <w:t>art. 115.º, n.ºs 1 a 3</w:t>
            </w:r>
          </w:p>
          <w:p>
            <w:pPr>
              <w:spacing w:after="60"/>
            </w:pPr>
            <w:r>
              <w:rPr>
                <w:b w:val="0"/>
                <w:sz w:val="20"/>
              </w:rPr>
              <w:t>art. 121.º, n.ºs 2, 4 e 5</w:t>
            </w:r>
          </w:p>
          <w:p>
            <w:pPr>
              <w:spacing w:after="60"/>
            </w:pPr>
            <w:r>
              <w:rPr>
                <w:b w:val="0"/>
                <w:sz w:val="20"/>
              </w:rPr>
              <w:t>art. 79.º, n.º 7</w:t>
            </w:r>
          </w:p>
          <w:p>
            <w:pPr>
              <w:spacing w:after="60"/>
            </w:pPr>
            <w:r>
              <w:rPr>
                <w:b w:val="0"/>
                <w:sz w:val="20"/>
              </w:rPr>
              <w:t>art. 110.º, n.º 2</w:t>
            </w:r>
          </w:p>
          <w:p>
            <w:pPr>
              <w:spacing w:after="60"/>
            </w:pPr>
            <w:r>
              <w:rPr>
                <w:b w:val="0"/>
                <w:sz w:val="20"/>
              </w:rPr>
              <w:t>art. 126.º, n.º 2</w:t>
            </w:r>
          </w:p>
          <w:p>
            <w:pPr>
              <w:spacing w:after="60"/>
            </w:pPr>
            <w:r>
              <w:rPr>
                <w:b w:val="0"/>
                <w:sz w:val="20"/>
              </w:rPr>
              <w:t>DL 315/2009, art. 3.º, al. b), art. 9.º, art. 14.º e art. 19.º, n.º 2</w:t>
            </w:r>
          </w:p>
          <w:p>
            <w:pPr>
              <w:spacing w:after="60"/>
            </w:pPr>
            <w:r>
              <w:rPr>
                <w:b w:val="0"/>
                <w:sz w:val="20"/>
              </w:rPr>
              <w:t>DL 82/2019, art. 13.º, n.º 1</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10. Capítulo XV. Medidas administrativas, fiscalização e contraordenações</w:t>
      </w:r>
    </w:p>
    <w:p>
      <w:pPr>
        <w:pStyle w:val="Heading2"/>
      </w:pPr>
      <w:r>
        <w:rPr>
          <w:i w:val="0"/>
          <w:color w:val="000000"/>
        </w:rPr>
        <w:t>SAN-03.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TIT-21, SAN-01</w:t>
            </w:r>
          </w:p>
        </w:tc>
      </w:tr>
    </w:tbl>
    <w:p/>
    <w:p>
      <w:pPr>
        <w:pStyle w:val="Heading2"/>
      </w:pPr>
      <w:r>
        <w:rPr>
          <w:i w:val="0"/>
          <w:color w:val="000000"/>
        </w:rPr>
        <w:t>SAN-01.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CED-17);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TIT-06). Ponderar uma norma geral como a da Lei 92/95, art. 12.º, n.º 1, ou pelo menos coima expressa, com a gravidade que hoje tem no DL 276/2001 (art. 68.º, n.º 2, al. d)), para o art. 8.º, n.º 1 (morte sem motivo legítimo). Ver FIN-01.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 TIT-06, TIT-11, CED-19, FIN-01</w:t>
            </w:r>
          </w:p>
        </w:tc>
      </w:tr>
    </w:tbl>
    <w:p/>
    <w:p>
      <w:pPr>
        <w:pStyle w:val="Heading2"/>
      </w:pPr>
      <w:r>
        <w:rPr>
          <w:i w:val="0"/>
          <w:color w:val="000000"/>
        </w:rPr>
        <w:t>TIT-06.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TIT-06</w:t>
            </w:r>
          </w:p>
        </w:tc>
      </w:tr>
    </w:tbl>
    <w:p/>
    <w:p>
      <w:pPr>
        <w:pStyle w:val="Heading2"/>
      </w:pPr>
      <w:r>
        <w:rPr>
          <w:i w:val="0"/>
          <w:color w:val="000000"/>
        </w:rPr>
        <w:t>SAN-04.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w:t>
            </w:r>
          </w:p>
          <w:p>
            <w:pPr>
              <w:spacing w:after="60"/>
            </w:pPr>
            <w:r>
              <w:rPr>
                <w:b w:val="0"/>
                <w:sz w:val="20"/>
              </w:rPr>
              <w:t>art. 50.º</w:t>
            </w:r>
          </w:p>
          <w:p>
            <w:pPr>
              <w:spacing w:after="60"/>
            </w:pPr>
            <w:r>
              <w:rPr>
                <w:b w:val="0"/>
                <w:sz w:val="20"/>
              </w:rPr>
              <w:t>Artigo principal: art. 141.º, Sanções acessórias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EST-01, SAN-03</w:t>
            </w:r>
          </w:p>
        </w:tc>
      </w:tr>
    </w:tbl>
    <w:p/>
    <w:p>
      <w:r>
        <w:br w:type="page"/>
      </w:r>
    </w:p>
    <w:p>
      <w:pPr>
        <w:pStyle w:val="Heading1"/>
      </w:pPr>
      <w:r>
        <w:rPr>
          <w:i w:val="0"/>
          <w:color w:val="000000"/>
        </w:rPr>
        <w:t>11. Capítulo XVI. Disposições complementares, finais e transitórias</w:t>
      </w:r>
    </w:p>
    <w:p>
      <w:pPr>
        <w:pStyle w:val="Heading2"/>
      </w:pPr>
      <w:r>
        <w:rPr>
          <w:i w:val="0"/>
          <w:color w:val="000000"/>
        </w:rPr>
        <w:t>FIN-01.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SAN-01).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 TIT-06</w:t>
            </w:r>
          </w:p>
        </w:tc>
      </w:tr>
    </w:tbl>
    <w:p/>
    <w:p>
      <w:pPr>
        <w:pStyle w:val="Heading2"/>
      </w:pPr>
      <w:r>
        <w:rPr>
          <w:i w:val="0"/>
          <w:color w:val="000000"/>
        </w:rPr>
        <w:t>FIN-02.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w:t>
            </w:r>
          </w:p>
        </w:tc>
      </w:tr>
    </w:tbl>
    <w:p/>
    <w:p>
      <w:pPr>
        <w:pStyle w:val="Heading2"/>
      </w:pPr>
      <w:r>
        <w:rPr>
          <w:i w:val="0"/>
          <w:color w:val="000000"/>
        </w:rPr>
        <w:t>TIT-07.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12.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(TIT-07).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6"/>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REG-01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TIT-19</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TIT-13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BEM-01</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TIT-12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BEM-02</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EST-01</w:t>
            </w:r>
          </w:p>
        </w:tc>
        <w:tc>
          <w:tcPr>
            <w:tcW w:w="4309" w:type="dxa"/>
          </w:tcPr>
          <w:p>
            <w:pPr>
              <w:spacing w:after="60"/>
            </w:pPr>
            <w:r/>
            <w:r>
              <w:rPr>
                <w:b w:val="0"/>
                <w:sz w:val="20"/>
              </w:rPr>
              <w:t>O encerramento de estabelecimentos fica sem medida cautelar, sem regra para os animais e sem efeito no registo</w:t>
            </w:r>
          </w:p>
        </w:tc>
        <w:tc>
          <w:tcPr>
            <w:tcW w:w="3628" w:type="dxa"/>
          </w:tcPr>
          <w:p>
            <w:pPr>
              <w:spacing w:after="60"/>
            </w:pPr>
            <w:r/>
            <w:r>
              <w:rPr>
                <w:b w:val="0"/>
                <w:sz w:val="20"/>
              </w:rPr>
              <w:t>art. 50.º, Suspensão de atividade e encerramento dos estabelecimentos</w:t>
            </w:r>
          </w:p>
        </w:tc>
        <w:tc>
          <w:tcPr>
            <w:tcW w:w="2381" w:type="dxa"/>
          </w:tcPr>
          <w:p>
            <w:pPr>
              <w:spacing w:after="60"/>
            </w:pPr>
            <w:r/>
            <w:r>
              <w:rPr>
                <w:b w:val="0"/>
                <w:sz w:val="20"/>
              </w:rPr>
              <w:t>Estabelecimentos e operadores; Bem-estar e deveres de detenção; Fiscalização e contraordenações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CED-12</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TIT-02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CED-03</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CED-17</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CED-01</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CED-02</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CED-05</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CED-06</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CED-07</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CED-08</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CED-09</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CED-11</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CED-13</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CED-14</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CED-15</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CED-16</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CED-10</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CED-04</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SAN-02</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TIT-20</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TIT-21</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XIV. Detenção de animais perigosos ou potencialmente perigosos</w:t>
            </w:r>
          </w:p>
        </w:tc>
      </w:tr>
      <w:tr>
        <w:tc>
          <w:tcPr>
            <w:tcW w:w="907" w:type="dxa"/>
          </w:tcPr>
          <w:p>
            <w:pPr>
              <w:spacing w:after="60"/>
            </w:pPr>
            <w:r/>
            <w:r>
              <w:rPr>
                <w:b w:val="0"/>
                <w:sz w:val="20"/>
              </w:rPr>
              <w:t>PER-01</w:t>
            </w:r>
          </w:p>
        </w:tc>
        <w:tc>
          <w:tcPr>
            <w:tcW w:w="4309" w:type="dxa"/>
          </w:tcPr>
          <w:p>
            <w:pPr>
              <w:spacing w:after="60"/>
            </w:pPr>
            <w:r/>
            <w:r>
              <w:rPr>
                <w:b w:val="0"/>
                <w:sz w:val="20"/>
              </w:rPr>
              <w:t>Duas vias para retirar a classificação de perigoso, sem ligação entre elas</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SAN-03</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SAN-01</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SAN-04</w:t>
            </w:r>
          </w:p>
        </w:tc>
        <w:tc>
          <w:tcPr>
            <w:tcW w:w="4309" w:type="dxa"/>
          </w:tcPr>
          <w:p>
            <w:pPr>
              <w:spacing w:after="60"/>
            </w:pPr>
            <w:r/>
            <w:r>
              <w:rPr>
                <w:b w:val="0"/>
                <w:sz w:val="20"/>
              </w:rPr>
              <w:t>As sanções acessórias perdem a interdição do exercício da atividade</w:t>
            </w:r>
          </w:p>
        </w:tc>
        <w:tc>
          <w:tcPr>
            <w:tcW w:w="3628" w:type="dxa"/>
          </w:tcPr>
          <w:p>
            <w:pPr>
              <w:spacing w:after="60"/>
            </w:pPr>
            <w:r/>
            <w:r>
              <w:rPr>
                <w:b w:val="0"/>
                <w:sz w:val="20"/>
              </w:rPr>
              <w:t>art. 141.º, Sanções acessórias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FIN-01</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FIN-02</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51 fichas, das quais 47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TIT-12.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TIT-05.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CED-07.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TIT-11.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BEM-01.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SAN-01.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SAN-01.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SAN-01.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928" w:type="dxa"/>
          </w:tcPr>
          <w:p>
            <w:pPr>
              <w:spacing w:after="60"/>
            </w:pPr>
            <w:r/>
            <w:r>
              <w:rPr>
                <w:b w:val="0"/>
                <w:sz w:val="20"/>
              </w:rPr>
              <w:t>art. 79.º (cap. VIII); art. 120.º (cap. XIV); art. 121.º (cap. XIV)</w:t>
            </w:r>
          </w:p>
        </w:tc>
        <w:tc>
          <w:tcPr>
            <w:tcW w:w="6009"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928" w:type="dxa"/>
          </w:tcPr>
          <w:p>
            <w:pPr>
              <w:spacing w:after="60"/>
            </w:pPr>
            <w:r/>
            <w:r>
              <w:rPr>
                <w:b w:val="0"/>
                <w:sz w:val="20"/>
              </w:rPr>
              <w:t>art. 110.º (cap. XIV); art. 112.º (cap. XIV); art. 113.º (cap. XIV); art. 114.º (cap. XIV)</w:t>
            </w:r>
          </w:p>
        </w:tc>
        <w:tc>
          <w:tcPr>
            <w:tcW w:w="6009"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11</w:t>
            </w:r>
          </w:p>
        </w:tc>
        <w:tc>
          <w:tcPr>
            <w:tcW w:w="1701" w:type="dxa"/>
          </w:tcPr>
          <w:p>
            <w:pPr>
              <w:spacing w:after="60"/>
            </w:pPr>
            <w:r/>
            <w:r>
              <w:rPr>
                <w:b w:val="0"/>
                <w:sz w:val="20"/>
              </w:rPr>
              <w:t>24</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19</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6</w:t>
            </w:r>
          </w:p>
        </w:tc>
        <w:tc>
          <w:tcPr>
            <w:tcW w:w="1701" w:type="dxa"/>
          </w:tcPr>
          <w:p>
            <w:pPr>
              <w:spacing w:after="60"/>
            </w:pPr>
            <w:r/>
            <w:r>
              <w:rPr>
                <w:b w:val="0"/>
                <w:sz w:val="20"/>
              </w:rPr>
              <w:t>2</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57</w:t>
            </w:r>
          </w:p>
        </w:tc>
        <w:tc>
          <w:tcPr>
            <w:tcW w:w="1701" w:type="dxa"/>
          </w:tcPr>
          <w:p>
            <w:pPr>
              <w:spacing w:after="60"/>
            </w:pPr>
            <w:r/>
            <w:r>
              <w:rPr>
                <w:b/>
                <w:sz w:val="20"/>
              </w:rPr>
              <w:t>96</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REG-01,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TIT-01, TIT-03, TIT-06, TIT-09, TIT-14, TIT-18, TIT-19, CED-02, CED-12, TIT-20, CED-18, 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TIT-03, CED-09,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TIT-13, TIT-16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BEM-01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BEM-01,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TIT-12,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BEM-02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TIT-14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EST-01,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EST-01, SAN-04,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EST-01,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CED-12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TIT-01, TIT-02, TIT-03, TIT-08, TIT-19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TIT-10, TIT-17, CED-07, CED-08, TIT-21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TIT-04, TIT-05, TIT-09, TIT-17,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TIT-04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SAN-01,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CED-03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CED-17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TIT-19, CED-01, CED-02, CED-04, CED-05, CED-06, CED-07, CED-08, CED-09, CED-11, CED-13, CED-14, CED-15, CED-16,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CED-10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TIT-10, SAN-01,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TIT-15, CED-04, CED-12, TIT-20, CED-18, CED-19, SAN-01, SAN-02,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TIT-20,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TIT-10,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TIT-10, SAN-01, SAN-02, TIT-21, BEM-02,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SAN-01,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PER-01,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PER-01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PER-01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SAN-03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SAN-03, EST-01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TIT-06, TIT-11, TIT-15, CED-03, CED-04, BEM-01, SAN-01, FIN-01,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EST-01, SAN-04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SAN-01, SAN-03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TIT-07, CED-01,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 Titularidade e detenção (21)</w:t>
      </w:r>
    </w:p>
    <w:p>
      <w:pPr>
        <w:spacing w:after="20"/>
        <w:ind w:left="454"/>
      </w:pPr>
      <w:r>
        <w:rPr>
          <w:b w:val="0"/>
          <w:i w:val="0"/>
        </w:rPr>
        <w:t>TIT-01. A definição de titular depende só do registo (art. 3.º, cap. I)</w:t>
      </w:r>
    </w:p>
    <w:p>
      <w:pPr>
        <w:spacing w:after="20"/>
        <w:ind w:left="454"/>
      </w:pPr>
      <w:r>
        <w:rPr>
          <w:b w:val="0"/>
          <w:i w:val="0"/>
        </w:rPr>
        <w:t>TIT-03. Sem regra sobre o valor do registo SIAC face à propriedade (art. 3.º, cap. I)</w:t>
      </w:r>
    </w:p>
    <w:p>
      <w:pPr>
        <w:spacing w:after="20"/>
        <w:ind w:left="454"/>
      </w:pPr>
      <w:r>
        <w:rPr>
          <w:b w:val="0"/>
          <w:i w:val="0"/>
        </w:rPr>
        <w:t>TIT-09. «Titular ou operador» quando o operador já é titular (art. 3.º, cap. I)</w:t>
      </w:r>
    </w:p>
    <w:p>
      <w:pPr>
        <w:spacing w:after="20"/>
        <w:ind w:left="454"/>
      </w:pPr>
      <w:r>
        <w:rPr>
          <w:b w:val="0"/>
          <w:i w:val="0"/>
        </w:rPr>
        <w:t>TIT-14. Família de acolhimento sem operador fica sem enquadramento (art. 3.º, cap. I)</w:t>
      </w:r>
    </w:p>
    <w:p>
      <w:pPr>
        <w:spacing w:after="20"/>
        <w:ind w:left="454"/>
      </w:pPr>
      <w:r>
        <w:rPr>
          <w:b w:val="0"/>
          <w:i w:val="0"/>
        </w:rPr>
        <w:t>TIT-18. Animais deixados em centros veterinários (art. 3.º, cap. I)</w:t>
      </w:r>
    </w:p>
    <w:p>
      <w:pPr>
        <w:spacing w:after="20"/>
        <w:ind w:left="454"/>
      </w:pPr>
      <w:r>
        <w:rPr>
          <w:b w:val="0"/>
          <w:i w:val="0"/>
        </w:rPr>
        <w:t>TIT-19. Nada diz quem é titular quando o animal não tem proprietário (art. 3.º, cap. I)</w:t>
      </w:r>
    </w:p>
    <w:p>
      <w:pPr>
        <w:spacing w:after="20"/>
        <w:ind w:left="454"/>
      </w:pPr>
      <w:r>
        <w:rPr>
          <w:b w:val="0"/>
          <w:i w:val="0"/>
        </w:rPr>
        <w:t>TIT-13. Quem responde pelos danos causados pelo animal (art. 6.º, cap. II)</w:t>
      </w:r>
    </w:p>
    <w:p>
      <w:pPr>
        <w:spacing w:after="20"/>
        <w:ind w:left="454"/>
      </w:pPr>
      <w:r>
        <w:rPr>
          <w:b w:val="0"/>
          <w:i w:val="0"/>
        </w:rPr>
        <w:t>TIT-16. Detentores de facto que dizem tratar de animais errantes (art. 6.º, cap. II)</w:t>
      </w:r>
    </w:p>
    <w:p>
      <w:pPr>
        <w:spacing w:after="20"/>
        <w:ind w:left="454"/>
      </w:pPr>
      <w:r>
        <w:rPr>
          <w:b w:val="0"/>
          <w:i w:val="0"/>
        </w:rPr>
        <w:t>TIT-12. Redação por decidir no art. 22.º (art. 22.º,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TIT-15. Quem encontra um animal passa a poder ser punido (art. 91.º, cap. X)</w:t>
      </w:r>
    </w:p>
    <w:p>
      <w:pPr>
        <w:spacing w:after="20"/>
        <w:ind w:left="454"/>
      </w:pPr>
      <w:r>
        <w:rPr>
          <w:b w:val="0"/>
          <w:i w:val="0"/>
        </w:rPr>
        <w:t>TIT-20. Quem acolhe um animal errante pode ficar sem saída lícita (art. 94.º, cap. X)</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TIT-07. As portarias mantidas usam detentor no sentido antigo (art. 149.º, cap. XVI)</w:t>
      </w:r>
    </w:p>
    <w:p>
      <w:pPr>
        <w:pStyle w:val="Heading2"/>
      </w:pPr>
      <w:r>
        <w:rPr>
          <w:i w:val="0"/>
          <w:color w:val="000000"/>
        </w:rPr>
        <w:t>CED. CED, colónias e animais errantes (20)</w:t>
      </w:r>
    </w:p>
    <w:p>
      <w:pPr>
        <w:spacing w:after="20"/>
        <w:ind w:left="454"/>
      </w:pPr>
      <w:r>
        <w:rPr>
          <w:b w:val="0"/>
          <w:i w:val="0"/>
        </w:rPr>
        <w:t>CED-18. A definição de animal errante passa a abranger qualquer animal não identificado (art. 3.º, cap. I)</w:t>
      </w:r>
    </w:p>
    <w:p>
      <w:pPr>
        <w:spacing w:after="20"/>
        <w:ind w:left="454"/>
      </w:pPr>
      <w:r>
        <w:rPr>
          <w:b w:val="0"/>
          <w:i w:val="0"/>
        </w:rPr>
        <w:t>CED-12. Gatos de colónia em infração permanente (art. 60.º, cap. VI)</w:t>
      </w:r>
    </w:p>
    <w:p>
      <w:pPr>
        <w:spacing w:after="20"/>
        <w:ind w:left="454"/>
      </w:pPr>
      <w:r>
        <w:rPr>
          <w:b w:val="0"/>
          <w:i w:val="0"/>
        </w:rPr>
        <w:t>CED-03. Proibição nacional de alimentar animais na via pública (art. 84.º, cap. X)</w:t>
      </w:r>
    </w:p>
    <w:p>
      <w:pPr>
        <w:spacing w:after="20"/>
        <w:ind w:left="454"/>
      </w:pPr>
      <w:r>
        <w:rPr>
          <w:b w:val="0"/>
          <w:i w:val="0"/>
        </w:rPr>
        <w:t>CED-17. Plano municipal de controlo de errantes sem conteúdo mínimo nem consequências (art. 85.º, cap. X)</w:t>
      </w:r>
    </w:p>
    <w:p>
      <w:pPr>
        <w:spacing w:after="20"/>
        <w:ind w:left="454"/>
      </w:pPr>
      <w:r>
        <w:rPr>
          <w:b w:val="0"/>
          <w:i w:val="0"/>
        </w:rPr>
        <w:t>CED-01. O CED passa a ser só uma faculdade das câmaras (art. 86.º, cap. X)</w:t>
      </w:r>
    </w:p>
    <w:p>
      <w:pPr>
        <w:spacing w:after="20"/>
        <w:ind w:left="454"/>
      </w:pPr>
      <w:r>
        <w:rPr>
          <w:b w:val="0"/>
          <w:i w:val="0"/>
        </w:rPr>
        <w:t>CED-02. O cuidador de colónia não existe no texto (art. 86.º, cap. X)</w:t>
      </w:r>
    </w:p>
    <w:p>
      <w:pPr>
        <w:spacing w:after="20"/>
        <w:ind w:left="454"/>
      </w:pPr>
      <w:r>
        <w:rPr>
          <w:b w:val="0"/>
          <w:i w:val="0"/>
        </w:rPr>
        <w:t>CED-05. Passagem obrigatória pelo CRO antes de o gato entrar na colónia (art. 86.º, cap. X)</w:t>
      </w:r>
    </w:p>
    <w:p>
      <w:pPr>
        <w:spacing w:after="20"/>
        <w:ind w:left="454"/>
      </w:pPr>
      <w:r>
        <w:rPr>
          <w:b w:val="0"/>
          <w:i w:val="0"/>
        </w:rPr>
        <w:t>CED-06. Exclusão dos cães do CED (art. 86.º, cap. X)</w:t>
      </w:r>
    </w:p>
    <w:p>
      <w:pPr>
        <w:spacing w:after="20"/>
        <w:ind w:left="454"/>
      </w:pPr>
      <w:r>
        <w:rPr>
          <w:b w:val="0"/>
          <w:i w:val="0"/>
        </w:rPr>
        <w:t>CED-07. Remissões e numeração erradas no artigo do CED (art. 86.º, cap. X)</w:t>
      </w:r>
    </w:p>
    <w:p>
      <w:pPr>
        <w:spacing w:after="20"/>
        <w:ind w:left="454"/>
      </w:pPr>
      <w:r>
        <w:rPr>
          <w:b w:val="0"/>
          <w:i w:val="0"/>
        </w:rPr>
        <w:t>CED-08. Entidade promotora, entidade responsável e titular: quem responde pela colónia (art. 86.º, cap. X)</w:t>
      </w:r>
    </w:p>
    <w:p>
      <w:pPr>
        <w:spacing w:after="20"/>
        <w:ind w:left="454"/>
      </w:pPr>
      <w:r>
        <w:rPr>
          <w:b w:val="0"/>
          <w:i w:val="0"/>
        </w:rPr>
        <w:t>CED-09. Registo da colónia no SIAC sem conteúdo definido (art. 86.º, cap. X)</w:t>
      </w:r>
    </w:p>
    <w:p>
      <w:pPr>
        <w:spacing w:after="20"/>
        <w:ind w:left="454"/>
      </w:pPr>
      <w:r>
        <w:rPr>
          <w:b w:val="0"/>
          <w:i w:val="0"/>
        </w:rPr>
        <w:t>CED-11. CED e conservação da natureza (art. 86.º, cap. X)</w:t>
      </w:r>
    </w:p>
    <w:p>
      <w:pPr>
        <w:spacing w:after="20"/>
        <w:ind w:left="454"/>
      </w:pPr>
      <w:r>
        <w:rPr>
          <w:b w:val="0"/>
          <w:i w:val="0"/>
        </w:rPr>
        <w:t>CED-13. Crias e gatos sociáveis: retirar ou devolver (art. 86.º, cap. X)</w:t>
      </w:r>
    </w:p>
    <w:p>
      <w:pPr>
        <w:spacing w:after="20"/>
        <w:ind w:left="454"/>
      </w:pPr>
      <w:r>
        <w:rPr>
          <w:b w:val="0"/>
          <w:i w:val="0"/>
        </w:rPr>
        <w:t>CED-14. Suspensão do programa e recolha dos gatos sem garantias (art. 86.º, cap. X)</w:t>
      </w:r>
    </w:p>
    <w:p>
      <w:pPr>
        <w:spacing w:after="20"/>
        <w:ind w:left="454"/>
      </w:pPr>
      <w:r>
        <w:rPr>
          <w:b w:val="0"/>
          <w:i w:val="0"/>
        </w:rPr>
        <w:t>CED-15. Meios: médicos veterinários municipais e financiamento (art. 86.º, cap. X)</w:t>
      </w:r>
    </w:p>
    <w:p>
      <w:pPr>
        <w:spacing w:after="20"/>
        <w:ind w:left="454"/>
      </w:pPr>
      <w:r>
        <w:rPr>
          <w:b w:val="0"/>
          <w:i w:val="0"/>
        </w:rPr>
        <w:t>CED-16. Conflito com vizinhos e dimensão da colónia (art. 86.º, cap. X)</w:t>
      </w:r>
    </w:p>
    <w:p>
      <w:pPr>
        <w:spacing w:after="20"/>
        <w:ind w:left="454"/>
      </w:pPr>
      <w:r>
        <w:rPr>
          <w:b w:val="0"/>
          <w:i w:val="0"/>
        </w:rPr>
        <w:t>CED-10. Colónias em prédios privados (art. 87.º, cap. X)</w:t>
      </w:r>
    </w:p>
    <w:p>
      <w:pPr>
        <w:spacing w:after="20"/>
        <w:ind w:left="454"/>
      </w:pPr>
      <w:r>
        <w:rPr>
          <w:b w:val="0"/>
          <w:i w:val="0"/>
        </w:rPr>
        <w:t>CED-04. Só as câmaras podem capturar, mas o CED pode ser gerido por outras entidades (art. 91.º, cap. X)</w:t>
      </w:r>
    </w:p>
    <w:p>
      <w:pPr>
        <w:spacing w:after="20"/>
        <w:ind w:left="454"/>
      </w:pPr>
      <w:r>
        <w:rPr>
          <w:b w:val="0"/>
          <w:i w:val="0"/>
        </w:rPr>
        <w:t>CED-19. A Lei 75/2013 ainda atribui às câmaras o abate de canídeos e gatídeos (art. 91.º, cap. X)</w:t>
      </w:r>
    </w:p>
    <w:p>
      <w:pPr>
        <w:spacing w:after="20"/>
        <w:ind w:left="454"/>
      </w:pPr>
      <w:r>
        <w:rPr>
          <w:b w:val="0"/>
          <w:i w:val="0"/>
        </w:rPr>
        <w:t>TIT-20. Quem acolhe um animal errante pode ficar sem saída lícita (art. 94.º, cap. X)</w:t>
      </w:r>
    </w:p>
    <w:p>
      <w:pPr>
        <w:pStyle w:val="Heading2"/>
      </w:pPr>
      <w:r>
        <w:rPr>
          <w:i w:val="0"/>
          <w:color w:val="000000"/>
        </w:rPr>
        <w:t>REG. Identificação e registo (11)</w:t>
      </w:r>
    </w:p>
    <w:p>
      <w:pPr>
        <w:spacing w:after="20"/>
        <w:ind w:left="454"/>
      </w:pPr>
      <w:r>
        <w:rPr>
          <w:b w:val="0"/>
          <w:i w:val="0"/>
        </w:rPr>
        <w:t>REG-01. Duas normas diferentes sobre que espécies são animais de companhia (art. 2.º, cap. I)</w:t>
      </w:r>
    </w:p>
    <w:p>
      <w:pPr>
        <w:spacing w:after="20"/>
        <w:ind w:left="454"/>
      </w:pPr>
      <w:r>
        <w:rPr>
          <w:b w:val="0"/>
          <w:i w:val="0"/>
        </w:rPr>
        <w:t>BEM-02. Nada sobre animais de companhia em acidente grave ou catástrofe (art. 25.º,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PER-01. Duas vias para retirar a classificação de perigoso, sem ligação entre elas (art. 120.º, cap. XIV)</w:t>
      </w:r>
    </w:p>
    <w:p>
      <w:pPr>
        <w:spacing w:after="20"/>
        <w:ind w:left="454"/>
      </w:pPr>
      <w:r>
        <w:rPr>
          <w:b w:val="0"/>
          <w:i w:val="0"/>
        </w:rPr>
        <w:t>SAN-03. A apreensão provisória serve só as contraordenações e admite devolver os animais ao local de origem (art. 139.º, cap. XV)</w:t>
      </w:r>
    </w:p>
    <w:p>
      <w:pPr>
        <w:pStyle w:val="Heading2"/>
      </w:pPr>
      <w:r>
        <w:rPr>
          <w:i w:val="0"/>
          <w:color w:val="000000"/>
        </w:rPr>
        <w:t>EST. Estabelecimentos e operadores (5)</w:t>
      </w:r>
    </w:p>
    <w:p>
      <w:pPr>
        <w:spacing w:after="20"/>
        <w:ind w:left="454"/>
      </w:pPr>
      <w:r>
        <w:rPr>
          <w:b w:val="0"/>
          <w:i w:val="0"/>
        </w:rPr>
        <w:t>TIT-12. Redação por decidir no art. 22.º (art. 22.º, cap. IV)</w:t>
      </w:r>
    </w:p>
    <w:p>
      <w:pPr>
        <w:spacing w:after="20"/>
        <w:ind w:left="454"/>
      </w:pPr>
      <w:r>
        <w:rPr>
          <w:b w:val="0"/>
          <w:i w:val="0"/>
        </w:rPr>
        <w:t>BEM-02. Nada sobre animais de companhia em acidente grave ou catástrofe (art. 25.º, cap. IV)</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SAN-01. Os deveres dos CRO e o relatório anual ficam sem coima (art. 140.º, cap. XV)</w:t>
      </w:r>
    </w:p>
    <w:p>
      <w:pPr>
        <w:spacing w:after="20"/>
        <w:ind w:left="454"/>
      </w:pPr>
      <w:r>
        <w:rPr>
          <w:b w:val="0"/>
          <w:i w:val="0"/>
        </w:rPr>
        <w:t>SAN-04. As sanções acessórias perdem a interdição do exercício da atividade (art. 141.º, cap. XV)</w:t>
      </w:r>
    </w:p>
    <w:p>
      <w:pPr>
        <w:pStyle w:val="Heading2"/>
      </w:pPr>
      <w:r>
        <w:rPr>
          <w:i w:val="0"/>
          <w:color w:val="000000"/>
        </w:rPr>
        <w:t>SAN. Fiscalização e contraordenações (8)</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SAN-03. A apreensão provisória serve só as contraordenações e admite devolver os animais ao local de origem (art. 139.º, cap. XV)</w:t>
      </w:r>
    </w:p>
    <w:p>
      <w:pPr>
        <w:spacing w:after="20"/>
        <w:ind w:left="454"/>
      </w:pPr>
      <w:r>
        <w:rPr>
          <w:b w:val="0"/>
          <w:i w:val="0"/>
        </w:rPr>
        <w:t>SAN-01. Os deveres dos CRO e o relatório anual ficam sem coima (art. 140.º, cap. XV)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SAN-04. As sanções acessórias perdem a interdição do exercício da atividade (art. 141.º, cap. XV)</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FIN. Disposições finais e revogações (3)</w:t>
      </w:r>
    </w:p>
    <w:p>
      <w:pPr>
        <w:spacing w:after="20"/>
        <w:ind w:left="454"/>
      </w:pPr>
      <w:r>
        <w:rPr>
          <w:b w:val="0"/>
          <w:i w:val="0"/>
        </w:rPr>
        <w:t>FIN-01. A revogação total da Lei 92/95 apaga normas que não tratam de animais de companhia (art. 149.º, cap. XVI)</w:t>
      </w:r>
    </w:p>
    <w:p>
      <w:pPr>
        <w:spacing w:after="20"/>
        <w:ind w:left="454"/>
      </w:pPr>
      <w:r>
        <w:rPr>
          <w:b w:val="0"/>
          <w:i w:val="0"/>
        </w:rPr>
        <w:t>FIN-02. O DL 74/2007 é ressalvado e revogado ao mesmo tempo (art. 149.º, cap. XVI)</w:t>
      </w:r>
    </w:p>
    <w:p>
      <w:pPr>
        <w:spacing w:after="20"/>
        <w:ind w:left="454"/>
      </w:pPr>
      <w:r>
        <w:rPr>
          <w:b w:val="0"/>
          <w:i w:val="0"/>
        </w:rPr>
        <w:t>TIT-07. As portarias mantidas usam detentor no sentido antigo (art. 149.º, cap. XVI)</w:t>
      </w:r>
    </w:p>
    <w:p>
      <w:pPr>
        <w:pStyle w:val="Heading2"/>
      </w:pPr>
      <w:r>
        <w:rPr>
          <w:i w:val="0"/>
          <w:color w:val="000000"/>
        </w:rPr>
        <w:t>BEM. Bem-estar e deveres de detenção (5)</w:t>
      </w:r>
    </w:p>
    <w:p>
      <w:pPr>
        <w:spacing w:after="20"/>
        <w:ind w:left="454"/>
      </w:pPr>
      <w:r>
        <w:rPr>
          <w:b w:val="0"/>
          <w:i w:val="0"/>
        </w:rPr>
        <w:t>BEM-01. A amarração no domicílio fica sem duração máxima nem requisitos verificáveis (art. 19.º, cap. II)</w:t>
      </w:r>
    </w:p>
    <w:p>
      <w:pPr>
        <w:spacing w:after="20"/>
        <w:ind w:left="454"/>
      </w:pPr>
      <w:r>
        <w:rPr>
          <w:b w:val="0"/>
          <w:i w:val="0"/>
        </w:rPr>
        <w:t>BEM-02. Nada sobre animais de companhia em acidente grave ou catástrofe (art. 25.º, cap. IV)</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PER. Animais perigosos (1)</w:t>
      </w:r>
    </w:p>
    <w:p>
      <w:pPr>
        <w:spacing w:after="20"/>
        <w:ind w:left="454"/>
      </w:pPr>
      <w:r>
        <w:rPr>
          <w:b w:val="0"/>
          <w:i w:val="0"/>
        </w:rPr>
        <w:t>PER-01. Duas vias para retirar a classificação de perigoso, sem ligação entre elas (art. 120.º, cap. XIV)</w:t>
      </w:r>
    </w:p>
    <w:p>
      <w:r>
        <w:br w:type="page"/>
      </w:r>
    </w:p>
    <w:p>
      <w:pPr>
        <w:pStyle w:val="Heading1"/>
      </w:pPr>
      <w:r>
        <w:rPr>
          <w:i w:val="0"/>
          <w:color w:val="000000"/>
        </w:rPr>
        <w:t>Anexo F. Correspondência com os códigos anteriores</w:t>
      </w:r>
    </w:p>
    <w:p>
      <w:r>
        <w:rPr>
          <w:b w:val="0"/>
          <w:i w:val="0"/>
        </w:rPr>
        <w:t>As versões 1 a 1.7 do memorando usavam T para titularidade e C para CED. O ensaio 2.0 usava números P sem significado. A partir desta versão, o código é a sigla do tema principal e um número dentro do 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247"/>
        <w:gridCol w:w="1474"/>
        <w:gridCol w:w="5102"/>
      </w:tblGrid>
      <w:tr>
        <w:trPr>
          <w:tblHeader w:val="true"/>
        </w:trPr>
        <w:tc>
          <w:tcPr>
            <w:tcW w:w="1247" w:type="dxa"/>
          </w:tcPr>
          <w:p>
            <w:pPr>
              <w:spacing w:after="60"/>
            </w:pPr>
            <w:r/>
            <w:r>
              <w:rPr>
                <w:b/>
                <w:sz w:val="20"/>
              </w:rPr>
              <w:t>Versão 1.x</w:t>
            </w:r>
          </w:p>
        </w:tc>
        <w:tc>
          <w:tcPr>
            <w:tcW w:w="1247" w:type="dxa"/>
          </w:tcPr>
          <w:p>
            <w:pPr>
              <w:spacing w:after="60"/>
            </w:pPr>
            <w:r/>
            <w:r>
              <w:rPr>
                <w:b/>
                <w:sz w:val="20"/>
              </w:rPr>
              <w:t>Ensaio 2.0</w:t>
            </w:r>
          </w:p>
        </w:tc>
        <w:tc>
          <w:tcPr>
            <w:tcW w:w="1474" w:type="dxa"/>
          </w:tcPr>
          <w:p>
            <w:pPr>
              <w:spacing w:after="60"/>
            </w:pPr>
            <w:r/>
            <w:r>
              <w:rPr>
                <w:b/>
                <w:sz w:val="20"/>
              </w:rPr>
              <w:t>Código atual</w:t>
            </w:r>
          </w:p>
        </w:tc>
        <w:tc>
          <w:tcPr>
            <w:tcW w:w="5102" w:type="dxa"/>
          </w:tcPr>
          <w:p>
            <w:pPr>
              <w:spacing w:after="60"/>
            </w:pPr>
            <w:r/>
            <w:r>
              <w:rPr>
                <w:b/>
                <w:sz w:val="20"/>
              </w:rPr>
              <w:t>Assunto</w:t>
            </w:r>
          </w:p>
        </w:tc>
      </w:tr>
      <w:tr>
        <w:tc>
          <w:tcPr>
            <w:tcW w:w="1247" w:type="dxa"/>
          </w:tcPr>
          <w:p>
            <w:pPr>
              <w:spacing w:after="60"/>
            </w:pPr>
            <w:r/>
            <w:r>
              <w:rPr>
                <w:b w:val="0"/>
                <w:sz w:val="20"/>
              </w:rPr>
              <w:t>T-01</w:t>
            </w:r>
          </w:p>
        </w:tc>
        <w:tc>
          <w:tcPr>
            <w:tcW w:w="1247" w:type="dxa"/>
          </w:tcPr>
          <w:p>
            <w:pPr>
              <w:spacing w:after="60"/>
            </w:pPr>
            <w:r/>
            <w:r>
              <w:rPr>
                <w:b w:val="0"/>
                <w:sz w:val="20"/>
              </w:rPr>
              <w:t>P-01</w:t>
            </w:r>
          </w:p>
        </w:tc>
        <w:tc>
          <w:tcPr>
            <w:tcW w:w="1474" w:type="dxa"/>
          </w:tcPr>
          <w:p>
            <w:pPr>
              <w:spacing w:after="60"/>
            </w:pPr>
            <w:r/>
            <w:r>
              <w:rPr>
                <w:b w:val="0"/>
                <w:sz w:val="20"/>
              </w:rPr>
              <w:t>TIT-01</w:t>
            </w:r>
          </w:p>
        </w:tc>
        <w:tc>
          <w:tcPr>
            <w:tcW w:w="5102" w:type="dxa"/>
          </w:tcPr>
          <w:p>
            <w:pPr>
              <w:spacing w:after="60"/>
            </w:pPr>
            <w:r/>
            <w:r>
              <w:rPr>
                <w:b w:val="0"/>
                <w:sz w:val="20"/>
              </w:rPr>
              <w:t>A definição de titular depende só do registo</w:t>
            </w:r>
          </w:p>
        </w:tc>
      </w:tr>
      <w:tr>
        <w:tc>
          <w:tcPr>
            <w:tcW w:w="1247" w:type="dxa"/>
          </w:tcPr>
          <w:p>
            <w:pPr>
              <w:spacing w:after="60"/>
            </w:pPr>
            <w:r/>
            <w:r>
              <w:rPr>
                <w:b w:val="0"/>
                <w:sz w:val="20"/>
              </w:rPr>
              <w:t>T-02</w:t>
            </w:r>
          </w:p>
        </w:tc>
        <w:tc>
          <w:tcPr>
            <w:tcW w:w="1247" w:type="dxa"/>
          </w:tcPr>
          <w:p>
            <w:pPr>
              <w:spacing w:after="60"/>
            </w:pPr>
            <w:r/>
            <w:r>
              <w:rPr>
                <w:b w:val="0"/>
                <w:sz w:val="20"/>
              </w:rPr>
              <w:t>P-02</w:t>
            </w:r>
          </w:p>
        </w:tc>
        <w:tc>
          <w:tcPr>
            <w:tcW w:w="1474" w:type="dxa"/>
          </w:tcPr>
          <w:p>
            <w:pPr>
              <w:spacing w:after="60"/>
            </w:pPr>
            <w:r/>
            <w:r>
              <w:rPr>
                <w:b w:val="0"/>
                <w:sz w:val="20"/>
              </w:rPr>
              <w:t>TIT-02</w:t>
            </w:r>
          </w:p>
        </w:tc>
        <w:tc>
          <w:tcPr>
            <w:tcW w:w="5102" w:type="dxa"/>
          </w:tcPr>
          <w:p>
            <w:pPr>
              <w:spacing w:after="60"/>
            </w:pPr>
            <w:r/>
            <w:r>
              <w:rPr>
                <w:b w:val="0"/>
                <w:sz w:val="20"/>
              </w:rPr>
              <w:t>Registo em nome de quem detém o animal e não de quem é dono</w:t>
            </w:r>
          </w:p>
        </w:tc>
      </w:tr>
      <w:tr>
        <w:tc>
          <w:tcPr>
            <w:tcW w:w="1247" w:type="dxa"/>
          </w:tcPr>
          <w:p>
            <w:pPr>
              <w:spacing w:after="60"/>
            </w:pPr>
            <w:r/>
            <w:r>
              <w:rPr>
                <w:b w:val="0"/>
                <w:sz w:val="20"/>
              </w:rPr>
              <w:t>T-03</w:t>
            </w:r>
          </w:p>
        </w:tc>
        <w:tc>
          <w:tcPr>
            <w:tcW w:w="1247" w:type="dxa"/>
          </w:tcPr>
          <w:p>
            <w:pPr>
              <w:spacing w:after="60"/>
            </w:pPr>
            <w:r/>
            <w:r>
              <w:rPr>
                <w:b w:val="0"/>
                <w:sz w:val="20"/>
              </w:rPr>
              <w:t>P-03</w:t>
            </w:r>
          </w:p>
        </w:tc>
        <w:tc>
          <w:tcPr>
            <w:tcW w:w="1474" w:type="dxa"/>
          </w:tcPr>
          <w:p>
            <w:pPr>
              <w:spacing w:after="60"/>
            </w:pPr>
            <w:r/>
            <w:r>
              <w:rPr>
                <w:b w:val="0"/>
                <w:sz w:val="20"/>
              </w:rPr>
              <w:t>TIT-03</w:t>
            </w:r>
          </w:p>
        </w:tc>
        <w:tc>
          <w:tcPr>
            <w:tcW w:w="5102" w:type="dxa"/>
          </w:tcPr>
          <w:p>
            <w:pPr>
              <w:spacing w:after="60"/>
            </w:pPr>
            <w:r/>
            <w:r>
              <w:rPr>
                <w:b w:val="0"/>
                <w:sz w:val="20"/>
              </w:rPr>
              <w:t>Sem regra sobre o valor do registo SIAC face à propriedade</w:t>
            </w:r>
          </w:p>
        </w:tc>
      </w:tr>
      <w:tr>
        <w:tc>
          <w:tcPr>
            <w:tcW w:w="1247" w:type="dxa"/>
          </w:tcPr>
          <w:p>
            <w:pPr>
              <w:spacing w:after="60"/>
            </w:pPr>
            <w:r/>
            <w:r>
              <w:rPr>
                <w:b w:val="0"/>
                <w:sz w:val="20"/>
              </w:rPr>
              <w:t>T-04</w:t>
            </w:r>
          </w:p>
        </w:tc>
        <w:tc>
          <w:tcPr>
            <w:tcW w:w="1247" w:type="dxa"/>
          </w:tcPr>
          <w:p>
            <w:pPr>
              <w:spacing w:after="60"/>
            </w:pPr>
            <w:r/>
            <w:r>
              <w:rPr>
                <w:b w:val="0"/>
                <w:sz w:val="20"/>
              </w:rPr>
              <w:t>P-04</w:t>
            </w:r>
          </w:p>
        </w:tc>
        <w:tc>
          <w:tcPr>
            <w:tcW w:w="1474" w:type="dxa"/>
          </w:tcPr>
          <w:p>
            <w:pPr>
              <w:spacing w:after="60"/>
            </w:pPr>
            <w:r/>
            <w:r>
              <w:rPr>
                <w:b w:val="0"/>
                <w:sz w:val="20"/>
              </w:rPr>
              <w:t>TIT-04</w:t>
            </w:r>
          </w:p>
        </w:tc>
        <w:tc>
          <w:tcPr>
            <w:tcW w:w="5102" w:type="dxa"/>
          </w:tcPr>
          <w:p>
            <w:pPr>
              <w:spacing w:after="60"/>
            </w:pPr>
            <w:r/>
            <w:r>
              <w:rPr>
                <w:b w:val="0"/>
                <w:sz w:val="20"/>
              </w:rPr>
              <w:t>O detentor deixa de ter de comunicar a morte do animal</w:t>
            </w:r>
          </w:p>
        </w:tc>
      </w:tr>
      <w:tr>
        <w:tc>
          <w:tcPr>
            <w:tcW w:w="1247" w:type="dxa"/>
          </w:tcPr>
          <w:p>
            <w:pPr>
              <w:spacing w:after="60"/>
            </w:pPr>
            <w:r/>
            <w:r>
              <w:rPr>
                <w:b w:val="0"/>
                <w:sz w:val="20"/>
              </w:rPr>
              <w:t>T-05</w:t>
            </w:r>
          </w:p>
        </w:tc>
        <w:tc>
          <w:tcPr>
            <w:tcW w:w="1247" w:type="dxa"/>
          </w:tcPr>
          <w:p>
            <w:pPr>
              <w:spacing w:after="60"/>
            </w:pPr>
            <w:r/>
            <w:r>
              <w:rPr>
                <w:b w:val="0"/>
                <w:sz w:val="20"/>
              </w:rPr>
              <w:t>P-05</w:t>
            </w:r>
          </w:p>
        </w:tc>
        <w:tc>
          <w:tcPr>
            <w:tcW w:w="1474" w:type="dxa"/>
          </w:tcPr>
          <w:p>
            <w:pPr>
              <w:spacing w:after="60"/>
            </w:pPr>
            <w:r/>
            <w:r>
              <w:rPr>
                <w:b w:val="0"/>
                <w:sz w:val="20"/>
              </w:rPr>
              <w:t>TIT-05</w:t>
            </w:r>
          </w:p>
        </w:tc>
        <w:tc>
          <w:tcPr>
            <w:tcW w:w="5102" w:type="dxa"/>
          </w:tcPr>
          <w:p>
            <w:pPr>
              <w:spacing w:after="60"/>
            </w:pPr>
            <w:r/>
            <w:r>
              <w:rPr>
                <w:b w:val="0"/>
                <w:sz w:val="20"/>
              </w:rPr>
              <w:t>A presunção de abandono remete para normas erradas e não diz a quem se aplica</w:t>
            </w:r>
          </w:p>
        </w:tc>
      </w:tr>
      <w:tr>
        <w:tc>
          <w:tcPr>
            <w:tcW w:w="1247" w:type="dxa"/>
          </w:tcPr>
          <w:p>
            <w:pPr>
              <w:spacing w:after="60"/>
            </w:pPr>
            <w:r/>
            <w:r>
              <w:rPr>
                <w:b w:val="0"/>
                <w:sz w:val="20"/>
              </w:rPr>
              <w:t>T-06</w:t>
            </w:r>
          </w:p>
        </w:tc>
        <w:tc>
          <w:tcPr>
            <w:tcW w:w="1247" w:type="dxa"/>
          </w:tcPr>
          <w:p>
            <w:pPr>
              <w:spacing w:after="60"/>
            </w:pPr>
            <w:r/>
            <w:r>
              <w:rPr>
                <w:b w:val="0"/>
                <w:sz w:val="20"/>
              </w:rPr>
              <w:t>P-06</w:t>
            </w:r>
          </w:p>
        </w:tc>
        <w:tc>
          <w:tcPr>
            <w:tcW w:w="1474" w:type="dxa"/>
          </w:tcPr>
          <w:p>
            <w:pPr>
              <w:spacing w:after="60"/>
            </w:pPr>
            <w:r/>
            <w:r>
              <w:rPr>
                <w:b w:val="0"/>
                <w:sz w:val="20"/>
              </w:rPr>
              <w:t>TIT-06</w:t>
            </w:r>
          </w:p>
        </w:tc>
        <w:tc>
          <w:tcPr>
            <w:tcW w:w="5102" w:type="dxa"/>
          </w:tcPr>
          <w:p>
            <w:pPr>
              <w:spacing w:after="60"/>
            </w:pPr>
            <w:r/>
            <w:r>
              <w:rPr>
                <w:b w:val="0"/>
                <w:sz w:val="20"/>
              </w:rPr>
              <w:t>O abandono não aparece como contraordenação</w:t>
            </w:r>
          </w:p>
        </w:tc>
      </w:tr>
      <w:tr>
        <w:tc>
          <w:tcPr>
            <w:tcW w:w="1247" w:type="dxa"/>
          </w:tcPr>
          <w:p>
            <w:pPr>
              <w:spacing w:after="60"/>
            </w:pPr>
            <w:r/>
            <w:r>
              <w:rPr>
                <w:b w:val="0"/>
                <w:sz w:val="20"/>
              </w:rPr>
              <w:t>T-07</w:t>
            </w:r>
          </w:p>
        </w:tc>
        <w:tc>
          <w:tcPr>
            <w:tcW w:w="1247" w:type="dxa"/>
          </w:tcPr>
          <w:p>
            <w:pPr>
              <w:spacing w:after="60"/>
            </w:pPr>
            <w:r/>
            <w:r>
              <w:rPr>
                <w:b w:val="0"/>
                <w:sz w:val="20"/>
              </w:rPr>
              <w:t>P-07</w:t>
            </w:r>
          </w:p>
        </w:tc>
        <w:tc>
          <w:tcPr>
            <w:tcW w:w="1474" w:type="dxa"/>
          </w:tcPr>
          <w:p>
            <w:pPr>
              <w:spacing w:after="60"/>
            </w:pPr>
            <w:r/>
            <w:r>
              <w:rPr>
                <w:b w:val="0"/>
                <w:sz w:val="20"/>
              </w:rPr>
              <w:t>TIT-07</w:t>
            </w:r>
          </w:p>
        </w:tc>
        <w:tc>
          <w:tcPr>
            <w:tcW w:w="5102" w:type="dxa"/>
          </w:tcPr>
          <w:p>
            <w:pPr>
              <w:spacing w:after="60"/>
            </w:pPr>
            <w:r/>
            <w:r>
              <w:rPr>
                <w:b w:val="0"/>
                <w:sz w:val="20"/>
              </w:rPr>
              <w:t>As portarias mantidas usam detentor no sentido antigo</w:t>
            </w:r>
          </w:p>
        </w:tc>
      </w:tr>
      <w:tr>
        <w:tc>
          <w:tcPr>
            <w:tcW w:w="1247" w:type="dxa"/>
          </w:tcPr>
          <w:p>
            <w:pPr>
              <w:spacing w:after="60"/>
            </w:pPr>
            <w:r/>
            <w:r>
              <w:rPr>
                <w:b w:val="0"/>
                <w:sz w:val="20"/>
              </w:rPr>
              <w:t>T-08</w:t>
            </w:r>
          </w:p>
        </w:tc>
        <w:tc>
          <w:tcPr>
            <w:tcW w:w="1247" w:type="dxa"/>
          </w:tcPr>
          <w:p>
            <w:pPr>
              <w:spacing w:after="60"/>
            </w:pPr>
            <w:r/>
            <w:r>
              <w:rPr>
                <w:b w:val="0"/>
                <w:sz w:val="20"/>
              </w:rPr>
              <w:t>P-08</w:t>
            </w:r>
          </w:p>
        </w:tc>
        <w:tc>
          <w:tcPr>
            <w:tcW w:w="1474" w:type="dxa"/>
          </w:tcPr>
          <w:p>
            <w:pPr>
              <w:spacing w:after="60"/>
            </w:pPr>
            <w:r/>
            <w:r>
              <w:rPr>
                <w:b w:val="0"/>
                <w:sz w:val="20"/>
              </w:rPr>
              <w:t>TIT-08</w:t>
            </w:r>
          </w:p>
        </w:tc>
        <w:tc>
          <w:tcPr>
            <w:tcW w:w="5102" w:type="dxa"/>
          </w:tcPr>
          <w:p>
            <w:pPr>
              <w:spacing w:after="60"/>
            </w:pPr>
            <w:r/>
            <w:r>
              <w:rPr>
                <w:b w:val="0"/>
                <w:sz w:val="20"/>
              </w:rPr>
              <w:t>Animais perigosos: o operador pode ser uma sociedade, o titular não</w:t>
            </w:r>
          </w:p>
        </w:tc>
      </w:tr>
      <w:tr>
        <w:tc>
          <w:tcPr>
            <w:tcW w:w="1247" w:type="dxa"/>
          </w:tcPr>
          <w:p>
            <w:pPr>
              <w:spacing w:after="60"/>
            </w:pPr>
            <w:r/>
            <w:r>
              <w:rPr>
                <w:b w:val="0"/>
                <w:sz w:val="20"/>
              </w:rPr>
              <w:t>T-09</w:t>
            </w:r>
          </w:p>
        </w:tc>
        <w:tc>
          <w:tcPr>
            <w:tcW w:w="1247" w:type="dxa"/>
          </w:tcPr>
          <w:p>
            <w:pPr>
              <w:spacing w:after="60"/>
            </w:pPr>
            <w:r/>
            <w:r>
              <w:rPr>
                <w:b w:val="0"/>
                <w:sz w:val="20"/>
              </w:rPr>
              <w:t>P-09</w:t>
            </w:r>
          </w:p>
        </w:tc>
        <w:tc>
          <w:tcPr>
            <w:tcW w:w="1474" w:type="dxa"/>
          </w:tcPr>
          <w:p>
            <w:pPr>
              <w:spacing w:after="60"/>
            </w:pPr>
            <w:r/>
            <w:r>
              <w:rPr>
                <w:b w:val="0"/>
                <w:sz w:val="20"/>
              </w:rPr>
              <w:t>TIT-09</w:t>
            </w:r>
          </w:p>
        </w:tc>
        <w:tc>
          <w:tcPr>
            <w:tcW w:w="5102" w:type="dxa"/>
          </w:tcPr>
          <w:p>
            <w:pPr>
              <w:spacing w:after="60"/>
            </w:pPr>
            <w:r/>
            <w:r>
              <w:rPr>
                <w:b w:val="0"/>
                <w:sz w:val="20"/>
              </w:rPr>
              <w:t>«Titular ou operador» quando o operador já é titular</w:t>
            </w:r>
          </w:p>
        </w:tc>
      </w:tr>
      <w:tr>
        <w:tc>
          <w:tcPr>
            <w:tcW w:w="1247" w:type="dxa"/>
          </w:tcPr>
          <w:p>
            <w:pPr>
              <w:spacing w:after="60"/>
            </w:pPr>
            <w:r/>
            <w:r>
              <w:rPr>
                <w:b w:val="0"/>
                <w:sz w:val="20"/>
              </w:rPr>
              <w:t>T-10</w:t>
            </w:r>
          </w:p>
        </w:tc>
        <w:tc>
          <w:tcPr>
            <w:tcW w:w="1247" w:type="dxa"/>
          </w:tcPr>
          <w:p>
            <w:pPr>
              <w:spacing w:after="60"/>
            </w:pPr>
            <w:r/>
            <w:r>
              <w:rPr>
                <w:b w:val="0"/>
                <w:sz w:val="20"/>
              </w:rPr>
              <w:t>P-10</w:t>
            </w:r>
          </w:p>
        </w:tc>
        <w:tc>
          <w:tcPr>
            <w:tcW w:w="1474" w:type="dxa"/>
          </w:tcPr>
          <w:p>
            <w:pPr>
              <w:spacing w:after="60"/>
            </w:pPr>
            <w:r/>
            <w:r>
              <w:rPr>
                <w:b w:val="0"/>
                <w:sz w:val="20"/>
              </w:rPr>
              <w:t>TIT-10</w:t>
            </w:r>
          </w:p>
        </w:tc>
        <w:tc>
          <w:tcPr>
            <w:tcW w:w="5102" w:type="dxa"/>
          </w:tcPr>
          <w:p>
            <w:pPr>
              <w:spacing w:after="60"/>
            </w:pPr>
            <w:r/>
            <w:r>
              <w:rPr>
                <w:b w:val="0"/>
                <w:sz w:val="20"/>
              </w:rPr>
              <w:t>Terminologia do CRO ainda não uniforme</w:t>
            </w:r>
          </w:p>
        </w:tc>
      </w:tr>
      <w:tr>
        <w:tc>
          <w:tcPr>
            <w:tcW w:w="1247" w:type="dxa"/>
          </w:tcPr>
          <w:p>
            <w:pPr>
              <w:spacing w:after="60"/>
            </w:pPr>
            <w:r/>
            <w:r>
              <w:rPr>
                <w:b w:val="0"/>
                <w:sz w:val="20"/>
              </w:rPr>
              <w:t>T-11</w:t>
            </w:r>
          </w:p>
        </w:tc>
        <w:tc>
          <w:tcPr>
            <w:tcW w:w="1247" w:type="dxa"/>
          </w:tcPr>
          <w:p>
            <w:pPr>
              <w:spacing w:after="60"/>
            </w:pPr>
            <w:r/>
            <w:r>
              <w:rPr>
                <w:b w:val="0"/>
                <w:sz w:val="20"/>
              </w:rPr>
              <w:t>P-11</w:t>
            </w:r>
          </w:p>
        </w:tc>
        <w:tc>
          <w:tcPr>
            <w:tcW w:w="1474" w:type="dxa"/>
          </w:tcPr>
          <w:p>
            <w:pPr>
              <w:spacing w:after="60"/>
            </w:pPr>
            <w:r/>
            <w:r>
              <w:rPr>
                <w:b w:val="0"/>
                <w:sz w:val="20"/>
              </w:rPr>
              <w:t>TIT-11</w:t>
            </w:r>
          </w:p>
        </w:tc>
        <w:tc>
          <w:tcPr>
            <w:tcW w:w="5102" w:type="dxa"/>
          </w:tcPr>
          <w:p>
            <w:pPr>
              <w:spacing w:after="60"/>
            </w:pPr>
            <w:r/>
            <w:r>
              <w:rPr>
                <w:b w:val="0"/>
                <w:sz w:val="20"/>
              </w:rPr>
              <w:t>Contraordenação dirigida só aos detentores</w:t>
            </w:r>
          </w:p>
        </w:tc>
      </w:tr>
      <w:tr>
        <w:tc>
          <w:tcPr>
            <w:tcW w:w="1247" w:type="dxa"/>
          </w:tcPr>
          <w:p>
            <w:pPr>
              <w:spacing w:after="60"/>
            </w:pPr>
            <w:r/>
            <w:r>
              <w:rPr>
                <w:b w:val="0"/>
                <w:sz w:val="20"/>
              </w:rPr>
              <w:t>T-12</w:t>
            </w:r>
          </w:p>
        </w:tc>
        <w:tc>
          <w:tcPr>
            <w:tcW w:w="1247" w:type="dxa"/>
          </w:tcPr>
          <w:p>
            <w:pPr>
              <w:spacing w:after="60"/>
            </w:pPr>
            <w:r/>
            <w:r>
              <w:rPr>
                <w:b w:val="0"/>
                <w:sz w:val="20"/>
              </w:rPr>
              <w:t>P-12</w:t>
            </w:r>
          </w:p>
        </w:tc>
        <w:tc>
          <w:tcPr>
            <w:tcW w:w="1474" w:type="dxa"/>
          </w:tcPr>
          <w:p>
            <w:pPr>
              <w:spacing w:after="60"/>
            </w:pPr>
            <w:r/>
            <w:r>
              <w:rPr>
                <w:b w:val="0"/>
                <w:sz w:val="20"/>
              </w:rPr>
              <w:t>TIT-12</w:t>
            </w:r>
          </w:p>
        </w:tc>
        <w:tc>
          <w:tcPr>
            <w:tcW w:w="5102" w:type="dxa"/>
          </w:tcPr>
          <w:p>
            <w:pPr>
              <w:spacing w:after="60"/>
            </w:pPr>
            <w:r/>
            <w:r>
              <w:rPr>
                <w:b w:val="0"/>
                <w:sz w:val="20"/>
              </w:rPr>
              <w:t>Redação por decidir no art. 22.º</w:t>
            </w:r>
          </w:p>
        </w:tc>
      </w:tr>
      <w:tr>
        <w:tc>
          <w:tcPr>
            <w:tcW w:w="1247" w:type="dxa"/>
          </w:tcPr>
          <w:p>
            <w:pPr>
              <w:spacing w:after="60"/>
            </w:pPr>
            <w:r/>
            <w:r>
              <w:rPr>
                <w:b w:val="0"/>
                <w:sz w:val="20"/>
              </w:rPr>
              <w:t>T-13</w:t>
            </w:r>
          </w:p>
        </w:tc>
        <w:tc>
          <w:tcPr>
            <w:tcW w:w="1247" w:type="dxa"/>
          </w:tcPr>
          <w:p>
            <w:pPr>
              <w:spacing w:after="60"/>
            </w:pPr>
            <w:r/>
            <w:r>
              <w:rPr>
                <w:b w:val="0"/>
                <w:sz w:val="20"/>
              </w:rPr>
              <w:t>P-13</w:t>
            </w:r>
          </w:p>
        </w:tc>
        <w:tc>
          <w:tcPr>
            <w:tcW w:w="1474" w:type="dxa"/>
          </w:tcPr>
          <w:p>
            <w:pPr>
              <w:spacing w:after="60"/>
            </w:pPr>
            <w:r/>
            <w:r>
              <w:rPr>
                <w:b w:val="0"/>
                <w:sz w:val="20"/>
              </w:rPr>
              <w:t>TIT-13</w:t>
            </w:r>
          </w:p>
        </w:tc>
        <w:tc>
          <w:tcPr>
            <w:tcW w:w="5102" w:type="dxa"/>
          </w:tcPr>
          <w:p>
            <w:pPr>
              <w:spacing w:after="60"/>
            </w:pPr>
            <w:r/>
            <w:r>
              <w:rPr>
                <w:b w:val="0"/>
                <w:sz w:val="20"/>
              </w:rPr>
              <w:t>Quem responde pelos danos causados pelo animal</w:t>
            </w:r>
          </w:p>
        </w:tc>
      </w:tr>
      <w:tr>
        <w:tc>
          <w:tcPr>
            <w:tcW w:w="1247" w:type="dxa"/>
          </w:tcPr>
          <w:p>
            <w:pPr>
              <w:spacing w:after="60"/>
            </w:pPr>
            <w:r/>
            <w:r>
              <w:rPr>
                <w:b w:val="0"/>
                <w:sz w:val="20"/>
              </w:rPr>
              <w:t>T-14</w:t>
            </w:r>
          </w:p>
        </w:tc>
        <w:tc>
          <w:tcPr>
            <w:tcW w:w="1247" w:type="dxa"/>
          </w:tcPr>
          <w:p>
            <w:pPr>
              <w:spacing w:after="60"/>
            </w:pPr>
            <w:r/>
            <w:r>
              <w:rPr>
                <w:b w:val="0"/>
                <w:sz w:val="20"/>
              </w:rPr>
              <w:t>P-14</w:t>
            </w:r>
          </w:p>
        </w:tc>
        <w:tc>
          <w:tcPr>
            <w:tcW w:w="1474" w:type="dxa"/>
          </w:tcPr>
          <w:p>
            <w:pPr>
              <w:spacing w:after="60"/>
            </w:pPr>
            <w:r/>
            <w:r>
              <w:rPr>
                <w:b w:val="0"/>
                <w:sz w:val="20"/>
              </w:rPr>
              <w:t>TIT-14</w:t>
            </w:r>
          </w:p>
        </w:tc>
        <w:tc>
          <w:tcPr>
            <w:tcW w:w="5102" w:type="dxa"/>
          </w:tcPr>
          <w:p>
            <w:pPr>
              <w:spacing w:after="60"/>
            </w:pPr>
            <w:r/>
            <w:r>
              <w:rPr>
                <w:b w:val="0"/>
                <w:sz w:val="20"/>
              </w:rPr>
              <w:t>Família de acolhimento sem operador fica sem enquadramento</w:t>
            </w:r>
          </w:p>
        </w:tc>
      </w:tr>
      <w:tr>
        <w:tc>
          <w:tcPr>
            <w:tcW w:w="1247" w:type="dxa"/>
          </w:tcPr>
          <w:p>
            <w:pPr>
              <w:spacing w:after="60"/>
            </w:pPr>
            <w:r/>
            <w:r>
              <w:rPr>
                <w:b w:val="0"/>
                <w:sz w:val="20"/>
              </w:rPr>
              <w:t>T-15</w:t>
            </w:r>
          </w:p>
        </w:tc>
        <w:tc>
          <w:tcPr>
            <w:tcW w:w="1247" w:type="dxa"/>
          </w:tcPr>
          <w:p>
            <w:pPr>
              <w:spacing w:after="60"/>
            </w:pPr>
            <w:r/>
            <w:r>
              <w:rPr>
                <w:b w:val="0"/>
                <w:sz w:val="20"/>
              </w:rPr>
              <w:t>P-15</w:t>
            </w:r>
          </w:p>
        </w:tc>
        <w:tc>
          <w:tcPr>
            <w:tcW w:w="1474" w:type="dxa"/>
          </w:tcPr>
          <w:p>
            <w:pPr>
              <w:spacing w:after="60"/>
            </w:pPr>
            <w:r/>
            <w:r>
              <w:rPr>
                <w:b w:val="0"/>
                <w:sz w:val="20"/>
              </w:rPr>
              <w:t>TIT-15</w:t>
            </w:r>
          </w:p>
        </w:tc>
        <w:tc>
          <w:tcPr>
            <w:tcW w:w="5102" w:type="dxa"/>
          </w:tcPr>
          <w:p>
            <w:pPr>
              <w:spacing w:after="60"/>
            </w:pPr>
            <w:r/>
            <w:r>
              <w:rPr>
                <w:b w:val="0"/>
                <w:sz w:val="20"/>
              </w:rPr>
              <w:t>Quem encontra um animal passa a poder ser punido</w:t>
            </w:r>
          </w:p>
        </w:tc>
      </w:tr>
      <w:tr>
        <w:tc>
          <w:tcPr>
            <w:tcW w:w="1247" w:type="dxa"/>
          </w:tcPr>
          <w:p>
            <w:pPr>
              <w:spacing w:after="60"/>
            </w:pPr>
            <w:r/>
            <w:r>
              <w:rPr>
                <w:b w:val="0"/>
                <w:sz w:val="20"/>
              </w:rPr>
              <w:t>T-16</w:t>
            </w:r>
          </w:p>
        </w:tc>
        <w:tc>
          <w:tcPr>
            <w:tcW w:w="1247" w:type="dxa"/>
          </w:tcPr>
          <w:p>
            <w:pPr>
              <w:spacing w:after="60"/>
            </w:pPr>
            <w:r/>
            <w:r>
              <w:rPr>
                <w:b w:val="0"/>
                <w:sz w:val="20"/>
              </w:rPr>
              <w:t>P-16</w:t>
            </w:r>
          </w:p>
        </w:tc>
        <w:tc>
          <w:tcPr>
            <w:tcW w:w="1474" w:type="dxa"/>
          </w:tcPr>
          <w:p>
            <w:pPr>
              <w:spacing w:after="60"/>
            </w:pPr>
            <w:r/>
            <w:r>
              <w:rPr>
                <w:b w:val="0"/>
                <w:sz w:val="20"/>
              </w:rPr>
              <w:t>TIT-16</w:t>
            </w:r>
          </w:p>
        </w:tc>
        <w:tc>
          <w:tcPr>
            <w:tcW w:w="5102" w:type="dxa"/>
          </w:tcPr>
          <w:p>
            <w:pPr>
              <w:spacing w:after="60"/>
            </w:pPr>
            <w:r/>
            <w:r>
              <w:rPr>
                <w:b w:val="0"/>
                <w:sz w:val="20"/>
              </w:rPr>
              <w:t>Detentores de facto que dizem tratar de animais errantes</w:t>
            </w:r>
          </w:p>
        </w:tc>
      </w:tr>
      <w:tr>
        <w:tc>
          <w:tcPr>
            <w:tcW w:w="1247" w:type="dxa"/>
          </w:tcPr>
          <w:p>
            <w:pPr>
              <w:spacing w:after="60"/>
            </w:pPr>
            <w:r/>
            <w:r>
              <w:rPr>
                <w:b w:val="0"/>
                <w:sz w:val="20"/>
              </w:rPr>
              <w:t>T-17</w:t>
            </w:r>
          </w:p>
        </w:tc>
        <w:tc>
          <w:tcPr>
            <w:tcW w:w="1247" w:type="dxa"/>
          </w:tcPr>
          <w:p>
            <w:pPr>
              <w:spacing w:after="60"/>
            </w:pPr>
            <w:r/>
            <w:r>
              <w:rPr>
                <w:b w:val="0"/>
                <w:sz w:val="20"/>
              </w:rPr>
              <w:t>P-17</w:t>
            </w:r>
          </w:p>
        </w:tc>
        <w:tc>
          <w:tcPr>
            <w:tcW w:w="1474" w:type="dxa"/>
          </w:tcPr>
          <w:p>
            <w:pPr>
              <w:spacing w:after="60"/>
            </w:pPr>
            <w:r/>
            <w:r>
              <w:rPr>
                <w:b w:val="0"/>
                <w:sz w:val="20"/>
              </w:rPr>
              <w:t>TIT-17</w:t>
            </w:r>
          </w:p>
        </w:tc>
        <w:tc>
          <w:tcPr>
            <w:tcW w:w="5102" w:type="dxa"/>
          </w:tcPr>
          <w:p>
            <w:pPr>
              <w:spacing w:after="60"/>
            </w:pPr>
            <w:r/>
            <w:r>
              <w:rPr>
                <w:b w:val="0"/>
                <w:sz w:val="20"/>
              </w:rPr>
              <w:t>Prazos de comunicação ao SIAC mais pesados do que o Regulamento europeu</w:t>
            </w:r>
          </w:p>
        </w:tc>
      </w:tr>
      <w:tr>
        <w:tc>
          <w:tcPr>
            <w:tcW w:w="1247" w:type="dxa"/>
          </w:tcPr>
          <w:p>
            <w:pPr>
              <w:spacing w:after="60"/>
            </w:pPr>
            <w:r/>
            <w:r>
              <w:rPr>
                <w:b w:val="0"/>
                <w:sz w:val="20"/>
              </w:rPr>
              <w:t>T-18</w:t>
            </w:r>
          </w:p>
        </w:tc>
        <w:tc>
          <w:tcPr>
            <w:tcW w:w="1247" w:type="dxa"/>
          </w:tcPr>
          <w:p>
            <w:pPr>
              <w:spacing w:after="60"/>
            </w:pPr>
            <w:r/>
            <w:r>
              <w:rPr>
                <w:b w:val="0"/>
                <w:sz w:val="20"/>
              </w:rPr>
              <w:t>P-18</w:t>
            </w:r>
          </w:p>
        </w:tc>
        <w:tc>
          <w:tcPr>
            <w:tcW w:w="1474" w:type="dxa"/>
          </w:tcPr>
          <w:p>
            <w:pPr>
              <w:spacing w:after="60"/>
            </w:pPr>
            <w:r/>
            <w:r>
              <w:rPr>
                <w:b w:val="0"/>
                <w:sz w:val="20"/>
              </w:rPr>
              <w:t>TIT-18</w:t>
            </w:r>
          </w:p>
        </w:tc>
        <w:tc>
          <w:tcPr>
            <w:tcW w:w="5102" w:type="dxa"/>
          </w:tcPr>
          <w:p>
            <w:pPr>
              <w:spacing w:after="60"/>
            </w:pPr>
            <w:r/>
            <w:r>
              <w:rPr>
                <w:b w:val="0"/>
                <w:sz w:val="20"/>
              </w:rPr>
              <w:t>Animais deixados em centros veterinários</w:t>
            </w:r>
          </w:p>
        </w:tc>
      </w:tr>
      <w:tr>
        <w:tc>
          <w:tcPr>
            <w:tcW w:w="1247" w:type="dxa"/>
          </w:tcPr>
          <w:p>
            <w:pPr>
              <w:spacing w:after="60"/>
            </w:pPr>
            <w:r/>
            <w:r>
              <w:rPr>
                <w:b w:val="0"/>
                <w:sz w:val="20"/>
              </w:rPr>
              <w:t>T-19</w:t>
            </w:r>
          </w:p>
        </w:tc>
        <w:tc>
          <w:tcPr>
            <w:tcW w:w="1247" w:type="dxa"/>
          </w:tcPr>
          <w:p>
            <w:pPr>
              <w:spacing w:after="60"/>
            </w:pPr>
            <w:r/>
            <w:r>
              <w:rPr>
                <w:b w:val="0"/>
                <w:sz w:val="20"/>
              </w:rPr>
              <w:t>P-36</w:t>
            </w:r>
          </w:p>
        </w:tc>
        <w:tc>
          <w:tcPr>
            <w:tcW w:w="1474" w:type="dxa"/>
          </w:tcPr>
          <w:p>
            <w:pPr>
              <w:spacing w:after="60"/>
            </w:pPr>
            <w:r/>
            <w:r>
              <w:rPr>
                <w:b w:val="0"/>
                <w:sz w:val="20"/>
              </w:rPr>
              <w:t>TIT-19</w:t>
            </w:r>
          </w:p>
        </w:tc>
        <w:tc>
          <w:tcPr>
            <w:tcW w:w="5102" w:type="dxa"/>
          </w:tcPr>
          <w:p>
            <w:pPr>
              <w:spacing w:after="60"/>
            </w:pPr>
            <w:r/>
            <w:r>
              <w:rPr>
                <w:b w:val="0"/>
                <w:sz w:val="20"/>
              </w:rPr>
              <w:t>Nada diz quem é titular quando o animal não tem proprietário</w:t>
            </w:r>
          </w:p>
        </w:tc>
      </w:tr>
      <w:tr>
        <w:tc>
          <w:tcPr>
            <w:tcW w:w="1247" w:type="dxa"/>
          </w:tcPr>
          <w:p>
            <w:pPr>
              <w:spacing w:after="60"/>
            </w:pPr>
            <w:r/>
            <w:r>
              <w:rPr>
                <w:b w:val="0"/>
                <w:sz w:val="20"/>
              </w:rPr>
              <w:t>C-01</w:t>
            </w:r>
          </w:p>
        </w:tc>
        <w:tc>
          <w:tcPr>
            <w:tcW w:w="1247" w:type="dxa"/>
          </w:tcPr>
          <w:p>
            <w:pPr>
              <w:spacing w:after="60"/>
            </w:pPr>
            <w:r/>
            <w:r>
              <w:rPr>
                <w:b w:val="0"/>
                <w:sz w:val="20"/>
              </w:rPr>
              <w:t>P-19</w:t>
            </w:r>
          </w:p>
        </w:tc>
        <w:tc>
          <w:tcPr>
            <w:tcW w:w="1474" w:type="dxa"/>
          </w:tcPr>
          <w:p>
            <w:pPr>
              <w:spacing w:after="60"/>
            </w:pPr>
            <w:r/>
            <w:r>
              <w:rPr>
                <w:b w:val="0"/>
                <w:sz w:val="20"/>
              </w:rPr>
              <w:t>CED-01</w:t>
            </w:r>
          </w:p>
        </w:tc>
        <w:tc>
          <w:tcPr>
            <w:tcW w:w="5102" w:type="dxa"/>
          </w:tcPr>
          <w:p>
            <w:pPr>
              <w:spacing w:after="60"/>
            </w:pPr>
            <w:r/>
            <w:r>
              <w:rPr>
                <w:b w:val="0"/>
                <w:sz w:val="20"/>
              </w:rPr>
              <w:t>O CED passa a ser só uma faculdade das câmaras</w:t>
            </w:r>
          </w:p>
        </w:tc>
      </w:tr>
      <w:tr>
        <w:tc>
          <w:tcPr>
            <w:tcW w:w="1247" w:type="dxa"/>
          </w:tcPr>
          <w:p>
            <w:pPr>
              <w:spacing w:after="60"/>
            </w:pPr>
            <w:r/>
            <w:r>
              <w:rPr>
                <w:b w:val="0"/>
                <w:sz w:val="20"/>
              </w:rPr>
              <w:t>C-02</w:t>
            </w:r>
          </w:p>
        </w:tc>
        <w:tc>
          <w:tcPr>
            <w:tcW w:w="1247" w:type="dxa"/>
          </w:tcPr>
          <w:p>
            <w:pPr>
              <w:spacing w:after="60"/>
            </w:pPr>
            <w:r/>
            <w:r>
              <w:rPr>
                <w:b w:val="0"/>
                <w:sz w:val="20"/>
              </w:rPr>
              <w:t>P-20</w:t>
            </w:r>
          </w:p>
        </w:tc>
        <w:tc>
          <w:tcPr>
            <w:tcW w:w="1474" w:type="dxa"/>
          </w:tcPr>
          <w:p>
            <w:pPr>
              <w:spacing w:after="60"/>
            </w:pPr>
            <w:r/>
            <w:r>
              <w:rPr>
                <w:b w:val="0"/>
                <w:sz w:val="20"/>
              </w:rPr>
              <w:t>CED-02</w:t>
            </w:r>
          </w:p>
        </w:tc>
        <w:tc>
          <w:tcPr>
            <w:tcW w:w="5102" w:type="dxa"/>
          </w:tcPr>
          <w:p>
            <w:pPr>
              <w:spacing w:after="60"/>
            </w:pPr>
            <w:r/>
            <w:r>
              <w:rPr>
                <w:b w:val="0"/>
                <w:sz w:val="20"/>
              </w:rPr>
              <w:t>O cuidador de colónia não existe no texto</w:t>
            </w:r>
          </w:p>
        </w:tc>
      </w:tr>
      <w:tr>
        <w:tc>
          <w:tcPr>
            <w:tcW w:w="1247" w:type="dxa"/>
          </w:tcPr>
          <w:p>
            <w:pPr>
              <w:spacing w:after="60"/>
            </w:pPr>
            <w:r/>
            <w:r>
              <w:rPr>
                <w:b w:val="0"/>
                <w:sz w:val="20"/>
              </w:rPr>
              <w:t>C-03</w:t>
            </w:r>
          </w:p>
        </w:tc>
        <w:tc>
          <w:tcPr>
            <w:tcW w:w="1247" w:type="dxa"/>
          </w:tcPr>
          <w:p>
            <w:pPr>
              <w:spacing w:after="60"/>
            </w:pPr>
            <w:r/>
            <w:r>
              <w:rPr>
                <w:b w:val="0"/>
                <w:sz w:val="20"/>
              </w:rPr>
              <w:t>P-21</w:t>
            </w:r>
          </w:p>
        </w:tc>
        <w:tc>
          <w:tcPr>
            <w:tcW w:w="1474" w:type="dxa"/>
          </w:tcPr>
          <w:p>
            <w:pPr>
              <w:spacing w:after="60"/>
            </w:pPr>
            <w:r/>
            <w:r>
              <w:rPr>
                <w:b w:val="0"/>
                <w:sz w:val="20"/>
              </w:rPr>
              <w:t>CED-03</w:t>
            </w:r>
          </w:p>
        </w:tc>
        <w:tc>
          <w:tcPr>
            <w:tcW w:w="5102" w:type="dxa"/>
          </w:tcPr>
          <w:p>
            <w:pPr>
              <w:spacing w:after="60"/>
            </w:pPr>
            <w:r/>
            <w:r>
              <w:rPr>
                <w:b w:val="0"/>
                <w:sz w:val="20"/>
              </w:rPr>
              <w:t>Proibição nacional de alimentar animais na via pública</w:t>
            </w:r>
          </w:p>
        </w:tc>
      </w:tr>
      <w:tr>
        <w:tc>
          <w:tcPr>
            <w:tcW w:w="1247" w:type="dxa"/>
          </w:tcPr>
          <w:p>
            <w:pPr>
              <w:spacing w:after="60"/>
            </w:pPr>
            <w:r/>
            <w:r>
              <w:rPr>
                <w:b w:val="0"/>
                <w:sz w:val="20"/>
              </w:rPr>
              <w:t>C-04</w:t>
            </w:r>
          </w:p>
        </w:tc>
        <w:tc>
          <w:tcPr>
            <w:tcW w:w="1247" w:type="dxa"/>
          </w:tcPr>
          <w:p>
            <w:pPr>
              <w:spacing w:after="60"/>
            </w:pPr>
            <w:r/>
            <w:r>
              <w:rPr>
                <w:b w:val="0"/>
                <w:sz w:val="20"/>
              </w:rPr>
              <w:t>P-22</w:t>
            </w:r>
          </w:p>
        </w:tc>
        <w:tc>
          <w:tcPr>
            <w:tcW w:w="1474" w:type="dxa"/>
          </w:tcPr>
          <w:p>
            <w:pPr>
              <w:spacing w:after="60"/>
            </w:pPr>
            <w:r/>
            <w:r>
              <w:rPr>
                <w:b w:val="0"/>
                <w:sz w:val="20"/>
              </w:rPr>
              <w:t>CED-04</w:t>
            </w:r>
          </w:p>
        </w:tc>
        <w:tc>
          <w:tcPr>
            <w:tcW w:w="5102" w:type="dxa"/>
          </w:tcPr>
          <w:p>
            <w:pPr>
              <w:spacing w:after="60"/>
            </w:pPr>
            <w:r/>
            <w:r>
              <w:rPr>
                <w:b w:val="0"/>
                <w:sz w:val="20"/>
              </w:rPr>
              <w:t>Só as câmaras podem capturar, mas o CED pode ser gerido por outras entidades</w:t>
            </w:r>
          </w:p>
        </w:tc>
      </w:tr>
      <w:tr>
        <w:tc>
          <w:tcPr>
            <w:tcW w:w="1247" w:type="dxa"/>
          </w:tcPr>
          <w:p>
            <w:pPr>
              <w:spacing w:after="60"/>
            </w:pPr>
            <w:r/>
            <w:r>
              <w:rPr>
                <w:b w:val="0"/>
                <w:sz w:val="20"/>
              </w:rPr>
              <w:t>C-05</w:t>
            </w:r>
          </w:p>
        </w:tc>
        <w:tc>
          <w:tcPr>
            <w:tcW w:w="1247" w:type="dxa"/>
          </w:tcPr>
          <w:p>
            <w:pPr>
              <w:spacing w:after="60"/>
            </w:pPr>
            <w:r/>
            <w:r>
              <w:rPr>
                <w:b w:val="0"/>
                <w:sz w:val="20"/>
              </w:rPr>
              <w:t>P-23</w:t>
            </w:r>
          </w:p>
        </w:tc>
        <w:tc>
          <w:tcPr>
            <w:tcW w:w="1474" w:type="dxa"/>
          </w:tcPr>
          <w:p>
            <w:pPr>
              <w:spacing w:after="60"/>
            </w:pPr>
            <w:r/>
            <w:r>
              <w:rPr>
                <w:b w:val="0"/>
                <w:sz w:val="20"/>
              </w:rPr>
              <w:t>CED-05</w:t>
            </w:r>
          </w:p>
        </w:tc>
        <w:tc>
          <w:tcPr>
            <w:tcW w:w="5102" w:type="dxa"/>
          </w:tcPr>
          <w:p>
            <w:pPr>
              <w:spacing w:after="60"/>
            </w:pPr>
            <w:r/>
            <w:r>
              <w:rPr>
                <w:b w:val="0"/>
                <w:sz w:val="20"/>
              </w:rPr>
              <w:t>Passagem obrigatória pelo CRO antes de o gato entrar na colónia</w:t>
            </w:r>
          </w:p>
        </w:tc>
      </w:tr>
      <w:tr>
        <w:tc>
          <w:tcPr>
            <w:tcW w:w="1247" w:type="dxa"/>
          </w:tcPr>
          <w:p>
            <w:pPr>
              <w:spacing w:after="60"/>
            </w:pPr>
            <w:r/>
            <w:r>
              <w:rPr>
                <w:b w:val="0"/>
                <w:sz w:val="20"/>
              </w:rPr>
              <w:t>C-06</w:t>
            </w:r>
          </w:p>
        </w:tc>
        <w:tc>
          <w:tcPr>
            <w:tcW w:w="1247" w:type="dxa"/>
          </w:tcPr>
          <w:p>
            <w:pPr>
              <w:spacing w:after="60"/>
            </w:pPr>
            <w:r/>
            <w:r>
              <w:rPr>
                <w:b w:val="0"/>
                <w:sz w:val="20"/>
              </w:rPr>
              <w:t>P-24</w:t>
            </w:r>
          </w:p>
        </w:tc>
        <w:tc>
          <w:tcPr>
            <w:tcW w:w="1474" w:type="dxa"/>
          </w:tcPr>
          <w:p>
            <w:pPr>
              <w:spacing w:after="60"/>
            </w:pPr>
            <w:r/>
            <w:r>
              <w:rPr>
                <w:b w:val="0"/>
                <w:sz w:val="20"/>
              </w:rPr>
              <w:t>CED-06</w:t>
            </w:r>
          </w:p>
        </w:tc>
        <w:tc>
          <w:tcPr>
            <w:tcW w:w="5102" w:type="dxa"/>
          </w:tcPr>
          <w:p>
            <w:pPr>
              <w:spacing w:after="60"/>
            </w:pPr>
            <w:r/>
            <w:r>
              <w:rPr>
                <w:b w:val="0"/>
                <w:sz w:val="20"/>
              </w:rPr>
              <w:t>Exclusão dos cães do CED</w:t>
            </w:r>
          </w:p>
        </w:tc>
      </w:tr>
      <w:tr>
        <w:tc>
          <w:tcPr>
            <w:tcW w:w="1247" w:type="dxa"/>
          </w:tcPr>
          <w:p>
            <w:pPr>
              <w:spacing w:after="60"/>
            </w:pPr>
            <w:r/>
            <w:r>
              <w:rPr>
                <w:b w:val="0"/>
                <w:sz w:val="20"/>
              </w:rPr>
              <w:t>C-07</w:t>
            </w:r>
          </w:p>
        </w:tc>
        <w:tc>
          <w:tcPr>
            <w:tcW w:w="1247" w:type="dxa"/>
          </w:tcPr>
          <w:p>
            <w:pPr>
              <w:spacing w:after="60"/>
            </w:pPr>
            <w:r/>
            <w:r>
              <w:rPr>
                <w:b w:val="0"/>
                <w:sz w:val="20"/>
              </w:rPr>
              <w:t>P-25</w:t>
            </w:r>
          </w:p>
        </w:tc>
        <w:tc>
          <w:tcPr>
            <w:tcW w:w="1474" w:type="dxa"/>
          </w:tcPr>
          <w:p>
            <w:pPr>
              <w:spacing w:after="60"/>
            </w:pPr>
            <w:r/>
            <w:r>
              <w:rPr>
                <w:b w:val="0"/>
                <w:sz w:val="20"/>
              </w:rPr>
              <w:t>CED-07</w:t>
            </w:r>
          </w:p>
        </w:tc>
        <w:tc>
          <w:tcPr>
            <w:tcW w:w="5102" w:type="dxa"/>
          </w:tcPr>
          <w:p>
            <w:pPr>
              <w:spacing w:after="60"/>
            </w:pPr>
            <w:r/>
            <w:r>
              <w:rPr>
                <w:b w:val="0"/>
                <w:sz w:val="20"/>
              </w:rPr>
              <w:t>Remissões e numeração erradas no artigo do CED</w:t>
            </w:r>
          </w:p>
        </w:tc>
      </w:tr>
      <w:tr>
        <w:tc>
          <w:tcPr>
            <w:tcW w:w="1247" w:type="dxa"/>
          </w:tcPr>
          <w:p>
            <w:pPr>
              <w:spacing w:after="60"/>
            </w:pPr>
            <w:r/>
            <w:r>
              <w:rPr>
                <w:b w:val="0"/>
                <w:sz w:val="20"/>
              </w:rPr>
              <w:t>C-08</w:t>
            </w:r>
          </w:p>
        </w:tc>
        <w:tc>
          <w:tcPr>
            <w:tcW w:w="1247" w:type="dxa"/>
          </w:tcPr>
          <w:p>
            <w:pPr>
              <w:spacing w:after="60"/>
            </w:pPr>
            <w:r/>
            <w:r>
              <w:rPr>
                <w:b w:val="0"/>
                <w:sz w:val="20"/>
              </w:rPr>
              <w:t>P-26</w:t>
            </w:r>
          </w:p>
        </w:tc>
        <w:tc>
          <w:tcPr>
            <w:tcW w:w="1474" w:type="dxa"/>
          </w:tcPr>
          <w:p>
            <w:pPr>
              <w:spacing w:after="60"/>
            </w:pPr>
            <w:r/>
            <w:r>
              <w:rPr>
                <w:b w:val="0"/>
                <w:sz w:val="20"/>
              </w:rPr>
              <w:t>CED-08</w:t>
            </w:r>
          </w:p>
        </w:tc>
        <w:tc>
          <w:tcPr>
            <w:tcW w:w="5102" w:type="dxa"/>
          </w:tcPr>
          <w:p>
            <w:pPr>
              <w:spacing w:after="60"/>
            </w:pPr>
            <w:r/>
            <w:r>
              <w:rPr>
                <w:b w:val="0"/>
                <w:sz w:val="20"/>
              </w:rPr>
              <w:t>Entidade promotora, entidade responsável e titular: quem responde pela colónia</w:t>
            </w:r>
          </w:p>
        </w:tc>
      </w:tr>
      <w:tr>
        <w:tc>
          <w:tcPr>
            <w:tcW w:w="1247" w:type="dxa"/>
          </w:tcPr>
          <w:p>
            <w:pPr>
              <w:spacing w:after="60"/>
            </w:pPr>
            <w:r/>
            <w:r>
              <w:rPr>
                <w:b w:val="0"/>
                <w:sz w:val="20"/>
              </w:rPr>
              <w:t>C-09</w:t>
            </w:r>
          </w:p>
        </w:tc>
        <w:tc>
          <w:tcPr>
            <w:tcW w:w="1247" w:type="dxa"/>
          </w:tcPr>
          <w:p>
            <w:pPr>
              <w:spacing w:after="60"/>
            </w:pPr>
            <w:r/>
            <w:r>
              <w:rPr>
                <w:b w:val="0"/>
                <w:sz w:val="20"/>
              </w:rPr>
              <w:t>P-27</w:t>
            </w:r>
          </w:p>
        </w:tc>
        <w:tc>
          <w:tcPr>
            <w:tcW w:w="1474" w:type="dxa"/>
          </w:tcPr>
          <w:p>
            <w:pPr>
              <w:spacing w:after="60"/>
            </w:pPr>
            <w:r/>
            <w:r>
              <w:rPr>
                <w:b w:val="0"/>
                <w:sz w:val="20"/>
              </w:rPr>
              <w:t>CED-09</w:t>
            </w:r>
          </w:p>
        </w:tc>
        <w:tc>
          <w:tcPr>
            <w:tcW w:w="5102" w:type="dxa"/>
          </w:tcPr>
          <w:p>
            <w:pPr>
              <w:spacing w:after="60"/>
            </w:pPr>
            <w:r/>
            <w:r>
              <w:rPr>
                <w:b w:val="0"/>
                <w:sz w:val="20"/>
              </w:rPr>
              <w:t>Registo da colónia no SIAC sem conteúdo definido</w:t>
            </w:r>
          </w:p>
        </w:tc>
      </w:tr>
      <w:tr>
        <w:tc>
          <w:tcPr>
            <w:tcW w:w="1247" w:type="dxa"/>
          </w:tcPr>
          <w:p>
            <w:pPr>
              <w:spacing w:after="60"/>
            </w:pPr>
            <w:r/>
            <w:r>
              <w:rPr>
                <w:b w:val="0"/>
                <w:sz w:val="20"/>
              </w:rPr>
              <w:t>C-10</w:t>
            </w:r>
          </w:p>
        </w:tc>
        <w:tc>
          <w:tcPr>
            <w:tcW w:w="1247" w:type="dxa"/>
          </w:tcPr>
          <w:p>
            <w:pPr>
              <w:spacing w:after="60"/>
            </w:pPr>
            <w:r/>
            <w:r>
              <w:rPr>
                <w:b w:val="0"/>
                <w:sz w:val="20"/>
              </w:rPr>
              <w:t>P-28</w:t>
            </w:r>
          </w:p>
        </w:tc>
        <w:tc>
          <w:tcPr>
            <w:tcW w:w="1474" w:type="dxa"/>
          </w:tcPr>
          <w:p>
            <w:pPr>
              <w:spacing w:after="60"/>
            </w:pPr>
            <w:r/>
            <w:r>
              <w:rPr>
                <w:b w:val="0"/>
                <w:sz w:val="20"/>
              </w:rPr>
              <w:t>CED-10</w:t>
            </w:r>
          </w:p>
        </w:tc>
        <w:tc>
          <w:tcPr>
            <w:tcW w:w="5102" w:type="dxa"/>
          </w:tcPr>
          <w:p>
            <w:pPr>
              <w:spacing w:after="60"/>
            </w:pPr>
            <w:r/>
            <w:r>
              <w:rPr>
                <w:b w:val="0"/>
                <w:sz w:val="20"/>
              </w:rPr>
              <w:t>Colónias em prédios privados</w:t>
            </w:r>
          </w:p>
        </w:tc>
      </w:tr>
      <w:tr>
        <w:tc>
          <w:tcPr>
            <w:tcW w:w="1247" w:type="dxa"/>
          </w:tcPr>
          <w:p>
            <w:pPr>
              <w:spacing w:after="60"/>
            </w:pPr>
            <w:r/>
            <w:r>
              <w:rPr>
                <w:b w:val="0"/>
                <w:sz w:val="20"/>
              </w:rPr>
              <w:t>C-11</w:t>
            </w:r>
          </w:p>
        </w:tc>
        <w:tc>
          <w:tcPr>
            <w:tcW w:w="1247" w:type="dxa"/>
          </w:tcPr>
          <w:p>
            <w:pPr>
              <w:spacing w:after="60"/>
            </w:pPr>
            <w:r/>
            <w:r>
              <w:rPr>
                <w:b w:val="0"/>
                <w:sz w:val="20"/>
              </w:rPr>
              <w:t>P-29</w:t>
            </w:r>
          </w:p>
        </w:tc>
        <w:tc>
          <w:tcPr>
            <w:tcW w:w="1474" w:type="dxa"/>
          </w:tcPr>
          <w:p>
            <w:pPr>
              <w:spacing w:after="60"/>
            </w:pPr>
            <w:r/>
            <w:r>
              <w:rPr>
                <w:b w:val="0"/>
                <w:sz w:val="20"/>
              </w:rPr>
              <w:t>CED-11</w:t>
            </w:r>
          </w:p>
        </w:tc>
        <w:tc>
          <w:tcPr>
            <w:tcW w:w="5102" w:type="dxa"/>
          </w:tcPr>
          <w:p>
            <w:pPr>
              <w:spacing w:after="60"/>
            </w:pPr>
            <w:r/>
            <w:r>
              <w:rPr>
                <w:b w:val="0"/>
                <w:sz w:val="20"/>
              </w:rPr>
              <w:t>CED e conservação da natureza</w:t>
            </w:r>
          </w:p>
        </w:tc>
      </w:tr>
      <w:tr>
        <w:tc>
          <w:tcPr>
            <w:tcW w:w="1247" w:type="dxa"/>
          </w:tcPr>
          <w:p>
            <w:pPr>
              <w:spacing w:after="60"/>
            </w:pPr>
            <w:r/>
            <w:r>
              <w:rPr>
                <w:b w:val="0"/>
                <w:sz w:val="20"/>
              </w:rPr>
              <w:t>C-12</w:t>
            </w:r>
          </w:p>
        </w:tc>
        <w:tc>
          <w:tcPr>
            <w:tcW w:w="1247" w:type="dxa"/>
          </w:tcPr>
          <w:p>
            <w:pPr>
              <w:spacing w:after="60"/>
            </w:pPr>
            <w:r/>
            <w:r>
              <w:rPr>
                <w:b w:val="0"/>
                <w:sz w:val="20"/>
              </w:rPr>
              <w:t>P-30</w:t>
            </w:r>
          </w:p>
        </w:tc>
        <w:tc>
          <w:tcPr>
            <w:tcW w:w="1474" w:type="dxa"/>
          </w:tcPr>
          <w:p>
            <w:pPr>
              <w:spacing w:after="60"/>
            </w:pPr>
            <w:r/>
            <w:r>
              <w:rPr>
                <w:b w:val="0"/>
                <w:sz w:val="20"/>
              </w:rPr>
              <w:t>CED-12</w:t>
            </w:r>
          </w:p>
        </w:tc>
        <w:tc>
          <w:tcPr>
            <w:tcW w:w="5102" w:type="dxa"/>
          </w:tcPr>
          <w:p>
            <w:pPr>
              <w:spacing w:after="60"/>
            </w:pPr>
            <w:r/>
            <w:r>
              <w:rPr>
                <w:b w:val="0"/>
                <w:sz w:val="20"/>
              </w:rPr>
              <w:t>Gatos de colónia em infração permanente</w:t>
            </w:r>
          </w:p>
        </w:tc>
      </w:tr>
      <w:tr>
        <w:tc>
          <w:tcPr>
            <w:tcW w:w="1247" w:type="dxa"/>
          </w:tcPr>
          <w:p>
            <w:pPr>
              <w:spacing w:after="60"/>
            </w:pPr>
            <w:r/>
            <w:r>
              <w:rPr>
                <w:b w:val="0"/>
                <w:sz w:val="20"/>
              </w:rPr>
              <w:t>C-13</w:t>
            </w:r>
          </w:p>
        </w:tc>
        <w:tc>
          <w:tcPr>
            <w:tcW w:w="1247" w:type="dxa"/>
          </w:tcPr>
          <w:p>
            <w:pPr>
              <w:spacing w:after="60"/>
            </w:pPr>
            <w:r/>
            <w:r>
              <w:rPr>
                <w:b w:val="0"/>
                <w:sz w:val="20"/>
              </w:rPr>
              <w:t>P-31</w:t>
            </w:r>
          </w:p>
        </w:tc>
        <w:tc>
          <w:tcPr>
            <w:tcW w:w="1474" w:type="dxa"/>
          </w:tcPr>
          <w:p>
            <w:pPr>
              <w:spacing w:after="60"/>
            </w:pPr>
            <w:r/>
            <w:r>
              <w:rPr>
                <w:b w:val="0"/>
                <w:sz w:val="20"/>
              </w:rPr>
              <w:t>CED-13</w:t>
            </w:r>
          </w:p>
        </w:tc>
        <w:tc>
          <w:tcPr>
            <w:tcW w:w="5102" w:type="dxa"/>
          </w:tcPr>
          <w:p>
            <w:pPr>
              <w:spacing w:after="60"/>
            </w:pPr>
            <w:r/>
            <w:r>
              <w:rPr>
                <w:b w:val="0"/>
                <w:sz w:val="20"/>
              </w:rPr>
              <w:t>Crias e gatos sociáveis: retirar ou devolver</w:t>
            </w:r>
          </w:p>
        </w:tc>
      </w:tr>
      <w:tr>
        <w:tc>
          <w:tcPr>
            <w:tcW w:w="1247" w:type="dxa"/>
          </w:tcPr>
          <w:p>
            <w:pPr>
              <w:spacing w:after="60"/>
            </w:pPr>
            <w:r/>
            <w:r>
              <w:rPr>
                <w:b w:val="0"/>
                <w:sz w:val="20"/>
              </w:rPr>
              <w:t>C-14</w:t>
            </w:r>
          </w:p>
        </w:tc>
        <w:tc>
          <w:tcPr>
            <w:tcW w:w="1247" w:type="dxa"/>
          </w:tcPr>
          <w:p>
            <w:pPr>
              <w:spacing w:after="60"/>
            </w:pPr>
            <w:r/>
            <w:r>
              <w:rPr>
                <w:b w:val="0"/>
                <w:sz w:val="20"/>
              </w:rPr>
              <w:t>P-32</w:t>
            </w:r>
          </w:p>
        </w:tc>
        <w:tc>
          <w:tcPr>
            <w:tcW w:w="1474" w:type="dxa"/>
          </w:tcPr>
          <w:p>
            <w:pPr>
              <w:spacing w:after="60"/>
            </w:pPr>
            <w:r/>
            <w:r>
              <w:rPr>
                <w:b w:val="0"/>
                <w:sz w:val="20"/>
              </w:rPr>
              <w:t>CED-14</w:t>
            </w:r>
          </w:p>
        </w:tc>
        <w:tc>
          <w:tcPr>
            <w:tcW w:w="5102" w:type="dxa"/>
          </w:tcPr>
          <w:p>
            <w:pPr>
              <w:spacing w:after="60"/>
            </w:pPr>
            <w:r/>
            <w:r>
              <w:rPr>
                <w:b w:val="0"/>
                <w:sz w:val="20"/>
              </w:rPr>
              <w:t>Suspensão do programa e recolha dos gatos sem garantias</w:t>
            </w:r>
          </w:p>
        </w:tc>
      </w:tr>
      <w:tr>
        <w:tc>
          <w:tcPr>
            <w:tcW w:w="1247" w:type="dxa"/>
          </w:tcPr>
          <w:p>
            <w:pPr>
              <w:spacing w:after="60"/>
            </w:pPr>
            <w:r/>
            <w:r>
              <w:rPr>
                <w:b w:val="0"/>
                <w:sz w:val="20"/>
              </w:rPr>
              <w:t>C-15</w:t>
            </w:r>
          </w:p>
        </w:tc>
        <w:tc>
          <w:tcPr>
            <w:tcW w:w="1247" w:type="dxa"/>
          </w:tcPr>
          <w:p>
            <w:pPr>
              <w:spacing w:after="60"/>
            </w:pPr>
            <w:r/>
            <w:r>
              <w:rPr>
                <w:b w:val="0"/>
                <w:sz w:val="20"/>
              </w:rPr>
              <w:t>P-33</w:t>
            </w:r>
          </w:p>
        </w:tc>
        <w:tc>
          <w:tcPr>
            <w:tcW w:w="1474" w:type="dxa"/>
          </w:tcPr>
          <w:p>
            <w:pPr>
              <w:spacing w:after="60"/>
            </w:pPr>
            <w:r/>
            <w:r>
              <w:rPr>
                <w:b w:val="0"/>
                <w:sz w:val="20"/>
              </w:rPr>
              <w:t>CED-15</w:t>
            </w:r>
          </w:p>
        </w:tc>
        <w:tc>
          <w:tcPr>
            <w:tcW w:w="5102" w:type="dxa"/>
          </w:tcPr>
          <w:p>
            <w:pPr>
              <w:spacing w:after="60"/>
            </w:pPr>
            <w:r/>
            <w:r>
              <w:rPr>
                <w:b w:val="0"/>
                <w:sz w:val="20"/>
              </w:rPr>
              <w:t>Meios: médicos veterinários municipais e financiamento</w:t>
            </w:r>
          </w:p>
        </w:tc>
      </w:tr>
      <w:tr>
        <w:tc>
          <w:tcPr>
            <w:tcW w:w="1247" w:type="dxa"/>
          </w:tcPr>
          <w:p>
            <w:pPr>
              <w:spacing w:after="60"/>
            </w:pPr>
            <w:r/>
            <w:r>
              <w:rPr>
                <w:b w:val="0"/>
                <w:sz w:val="20"/>
              </w:rPr>
              <w:t>C-16</w:t>
            </w:r>
          </w:p>
        </w:tc>
        <w:tc>
          <w:tcPr>
            <w:tcW w:w="1247" w:type="dxa"/>
          </w:tcPr>
          <w:p>
            <w:pPr>
              <w:spacing w:after="60"/>
            </w:pPr>
            <w:r/>
            <w:r>
              <w:rPr>
                <w:b w:val="0"/>
                <w:sz w:val="20"/>
              </w:rPr>
              <w:t>P-34</w:t>
            </w:r>
          </w:p>
        </w:tc>
        <w:tc>
          <w:tcPr>
            <w:tcW w:w="1474" w:type="dxa"/>
          </w:tcPr>
          <w:p>
            <w:pPr>
              <w:spacing w:after="60"/>
            </w:pPr>
            <w:r/>
            <w:r>
              <w:rPr>
                <w:b w:val="0"/>
                <w:sz w:val="20"/>
              </w:rPr>
              <w:t>CED-16</w:t>
            </w:r>
          </w:p>
        </w:tc>
        <w:tc>
          <w:tcPr>
            <w:tcW w:w="5102" w:type="dxa"/>
          </w:tcPr>
          <w:p>
            <w:pPr>
              <w:spacing w:after="60"/>
            </w:pPr>
            <w:r/>
            <w:r>
              <w:rPr>
                <w:b w:val="0"/>
                <w:sz w:val="20"/>
              </w:rPr>
              <w:t>Conflito com vizinhos e dimensão da colónia</w:t>
            </w:r>
          </w:p>
        </w:tc>
      </w:tr>
      <w:tr>
        <w:tc>
          <w:tcPr>
            <w:tcW w:w="1247" w:type="dxa"/>
          </w:tcPr>
          <w:p>
            <w:pPr>
              <w:spacing w:after="60"/>
            </w:pPr>
            <w:r/>
            <w:r>
              <w:rPr>
                <w:b w:val="0"/>
                <w:sz w:val="20"/>
              </w:rPr>
              <w:t>C-17</w:t>
            </w:r>
          </w:p>
        </w:tc>
        <w:tc>
          <w:tcPr>
            <w:tcW w:w="1247" w:type="dxa"/>
          </w:tcPr>
          <w:p>
            <w:pPr>
              <w:spacing w:after="60"/>
            </w:pPr>
            <w:r/>
            <w:r>
              <w:rPr>
                <w:b w:val="0"/>
                <w:sz w:val="20"/>
              </w:rPr>
              <w:t>P-35</w:t>
            </w:r>
          </w:p>
        </w:tc>
        <w:tc>
          <w:tcPr>
            <w:tcW w:w="1474" w:type="dxa"/>
          </w:tcPr>
          <w:p>
            <w:pPr>
              <w:spacing w:after="60"/>
            </w:pPr>
            <w:r/>
            <w:r>
              <w:rPr>
                <w:b w:val="0"/>
                <w:sz w:val="20"/>
              </w:rPr>
              <w:t>CED-17</w:t>
            </w:r>
          </w:p>
        </w:tc>
        <w:tc>
          <w:tcPr>
            <w:tcW w:w="5102" w:type="dxa"/>
          </w:tcPr>
          <w:p>
            <w:pPr>
              <w:spacing w:after="60"/>
            </w:pPr>
            <w:r/>
            <w:r>
              <w:rPr>
                <w:b w:val="0"/>
                <w:sz w:val="20"/>
              </w:rPr>
              <w:t>Plano municipal de controlo de errantes sem conteúdo mínimo nem consequências</w:t>
            </w:r>
          </w:p>
        </w:tc>
      </w:tr>
      <w:tr>
        <w:tc>
          <w:tcPr>
            <w:tcW w:w="1247" w:type="dxa"/>
          </w:tcPr>
          <w:p>
            <w:pPr>
              <w:spacing w:after="60"/>
            </w:pPr>
            <w:r/>
            <w:r>
              <w:rPr>
                <w:b w:val="0"/>
                <w:sz w:val="20"/>
              </w:rPr>
              <w:t>T-20</w:t>
            </w:r>
          </w:p>
        </w:tc>
        <w:tc>
          <w:tcPr>
            <w:tcW w:w="1247" w:type="dxa"/>
          </w:tcPr>
          <w:p>
            <w:pPr>
              <w:spacing w:after="60"/>
            </w:pPr>
            <w:r/>
            <w:r>
              <w:rPr>
                <w:b w:val="0"/>
                <w:sz w:val="20"/>
              </w:rPr>
              <w:t>P-37</w:t>
            </w:r>
          </w:p>
        </w:tc>
        <w:tc>
          <w:tcPr>
            <w:tcW w:w="1474" w:type="dxa"/>
          </w:tcPr>
          <w:p>
            <w:pPr>
              <w:spacing w:after="60"/>
            </w:pPr>
            <w:r/>
            <w:r>
              <w:rPr>
                <w:b w:val="0"/>
                <w:sz w:val="20"/>
              </w:rPr>
              <w:t>TIT-20</w:t>
            </w:r>
          </w:p>
        </w:tc>
        <w:tc>
          <w:tcPr>
            <w:tcW w:w="5102" w:type="dxa"/>
          </w:tcPr>
          <w:p>
            <w:pPr>
              <w:spacing w:after="60"/>
            </w:pPr>
            <w:r/>
            <w:r>
              <w:rPr>
                <w:b w:val="0"/>
                <w:sz w:val="20"/>
              </w:rPr>
              <w:t>Quem acolhe um animal errante pode ficar sem saída lícita</w:t>
            </w:r>
          </w:p>
        </w:tc>
      </w:tr>
      <w:tr>
        <w:tc>
          <w:tcPr>
            <w:tcW w:w="1247" w:type="dxa"/>
          </w:tcPr>
          <w:p>
            <w:pPr>
              <w:spacing w:after="60"/>
            </w:pPr>
            <w:r/>
            <w:r>
              <w:rPr>
                <w:b w:val="0"/>
                <w:sz w:val="20"/>
              </w:rPr>
              <w:t>C-18</w:t>
            </w:r>
          </w:p>
        </w:tc>
        <w:tc>
          <w:tcPr>
            <w:tcW w:w="1247" w:type="dxa"/>
          </w:tcPr>
          <w:p>
            <w:pPr>
              <w:spacing w:after="60"/>
            </w:pPr>
            <w:r/>
            <w:r>
              <w:rPr>
                <w:b w:val="0"/>
                <w:sz w:val="20"/>
              </w:rPr>
              <w:t>P-38</w:t>
            </w:r>
          </w:p>
        </w:tc>
        <w:tc>
          <w:tcPr>
            <w:tcW w:w="1474" w:type="dxa"/>
          </w:tcPr>
          <w:p>
            <w:pPr>
              <w:spacing w:after="60"/>
            </w:pPr>
            <w:r/>
            <w:r>
              <w:rPr>
                <w:b w:val="0"/>
                <w:sz w:val="20"/>
              </w:rPr>
              <w:t>CED-18</w:t>
            </w:r>
          </w:p>
        </w:tc>
        <w:tc>
          <w:tcPr>
            <w:tcW w:w="5102" w:type="dxa"/>
          </w:tcPr>
          <w:p>
            <w:pPr>
              <w:spacing w:after="60"/>
            </w:pPr>
            <w:r/>
            <w:r>
              <w:rPr>
                <w:b w:val="0"/>
                <w:sz w:val="20"/>
              </w:rPr>
              <w:t>A definição de animal errante passa a abranger qualquer animal não identificado</w:t>
            </w:r>
          </w:p>
        </w:tc>
      </w:tr>
      <w:tr>
        <w:tc>
          <w:tcPr>
            <w:tcW w:w="1247" w:type="dxa"/>
          </w:tcPr>
          <w:p>
            <w:pPr>
              <w:spacing w:after="60"/>
            </w:pPr>
            <w:r/>
            <w:r>
              <w:rPr>
                <w:b w:val="0"/>
                <w:sz w:val="20"/>
              </w:rPr>
              <w:t>C-19</w:t>
            </w:r>
          </w:p>
        </w:tc>
        <w:tc>
          <w:tcPr>
            <w:tcW w:w="1247" w:type="dxa"/>
          </w:tcPr>
          <w:p>
            <w:pPr>
              <w:spacing w:after="60"/>
            </w:pPr>
            <w:r/>
            <w:r>
              <w:rPr>
                <w:b w:val="0"/>
                <w:sz w:val="20"/>
              </w:rPr>
              <w:t>P-39</w:t>
            </w:r>
          </w:p>
        </w:tc>
        <w:tc>
          <w:tcPr>
            <w:tcW w:w="1474" w:type="dxa"/>
          </w:tcPr>
          <w:p>
            <w:pPr>
              <w:spacing w:after="60"/>
            </w:pPr>
            <w:r/>
            <w:r>
              <w:rPr>
                <w:b w:val="0"/>
                <w:sz w:val="20"/>
              </w:rPr>
              <w:t>CED-19</w:t>
            </w:r>
          </w:p>
        </w:tc>
        <w:tc>
          <w:tcPr>
            <w:tcW w:w="5102" w:type="dxa"/>
          </w:tcPr>
          <w:p>
            <w:pPr>
              <w:spacing w:after="60"/>
            </w:pPr>
            <w:r/>
            <w:r>
              <w:rPr>
                <w:b w:val="0"/>
                <w:sz w:val="20"/>
              </w:rPr>
              <w:t>A Lei 75/2013 ainda atribui às câmaras o abate de canídeos e gatídeos</w:t>
            </w:r>
          </w:p>
        </w:tc>
      </w:tr>
      <w:tr>
        <w:tc>
          <w:tcPr>
            <w:tcW w:w="1247" w:type="dxa"/>
          </w:tcPr>
          <w:p>
            <w:pPr>
              <w:spacing w:after="60"/>
            </w:pPr>
            <w:r/>
            <w:r>
              <w:rPr>
                <w:b w:val="0"/>
                <w:sz w:val="20"/>
              </w:rPr>
              <w:t>P-01</w:t>
            </w:r>
          </w:p>
        </w:tc>
        <w:tc>
          <w:tcPr>
            <w:tcW w:w="1247" w:type="dxa"/>
          </w:tcPr>
          <w:p>
            <w:pPr>
              <w:spacing w:after="60"/>
            </w:pPr>
            <w:r/>
            <w:r>
              <w:rPr>
                <w:b w:val="0"/>
                <w:sz w:val="20"/>
              </w:rPr>
              <w:t>P-40</w:t>
            </w:r>
          </w:p>
        </w:tc>
        <w:tc>
          <w:tcPr>
            <w:tcW w:w="1474" w:type="dxa"/>
          </w:tcPr>
          <w:p>
            <w:pPr>
              <w:spacing w:after="60"/>
            </w:pPr>
            <w:r/>
            <w:r>
              <w:rPr>
                <w:b w:val="0"/>
                <w:sz w:val="20"/>
              </w:rPr>
              <w:t>BEM-01</w:t>
            </w:r>
          </w:p>
        </w:tc>
        <w:tc>
          <w:tcPr>
            <w:tcW w:w="5102" w:type="dxa"/>
          </w:tcPr>
          <w:p>
            <w:pPr>
              <w:spacing w:after="60"/>
            </w:pPr>
            <w:r/>
            <w:r>
              <w:rPr>
                <w:b w:val="0"/>
                <w:sz w:val="20"/>
              </w:rPr>
              <w:t>A amarração no domicílio fica sem duração máxima nem requisitos verificáveis</w:t>
            </w:r>
          </w:p>
        </w:tc>
      </w:tr>
      <w:tr>
        <w:tc>
          <w:tcPr>
            <w:tcW w:w="1247" w:type="dxa"/>
          </w:tcPr>
          <w:p>
            <w:pPr>
              <w:spacing w:after="60"/>
            </w:pPr>
            <w:r/>
            <w:r>
              <w:rPr>
                <w:b w:val="0"/>
                <w:sz w:val="20"/>
              </w:rPr>
              <w:t>A-01</w:t>
            </w:r>
          </w:p>
        </w:tc>
        <w:tc>
          <w:tcPr>
            <w:tcW w:w="1247" w:type="dxa"/>
          </w:tcPr>
          <w:p>
            <w:pPr>
              <w:spacing w:after="60"/>
            </w:pPr>
            <w:r/>
            <w:r>
              <w:rPr>
                <w:b w:val="0"/>
                <w:sz w:val="20"/>
              </w:rPr>
              <w:t>P-41</w:t>
            </w:r>
          </w:p>
        </w:tc>
        <w:tc>
          <w:tcPr>
            <w:tcW w:w="1474" w:type="dxa"/>
          </w:tcPr>
          <w:p>
            <w:pPr>
              <w:spacing w:after="60"/>
            </w:pPr>
            <w:r/>
            <w:r>
              <w:rPr>
                <w:b w:val="0"/>
                <w:sz w:val="20"/>
              </w:rPr>
              <w:t>REG-01</w:t>
            </w:r>
          </w:p>
        </w:tc>
        <w:tc>
          <w:tcPr>
            <w:tcW w:w="5102" w:type="dxa"/>
          </w:tcPr>
          <w:p>
            <w:pPr>
              <w:spacing w:after="60"/>
            </w:pPr>
            <w:r/>
            <w:r>
              <w:rPr>
                <w:b w:val="0"/>
                <w:sz w:val="20"/>
              </w:rPr>
              <w:t>Duas normas diferentes sobre que espécies são animais de companhia</w:t>
            </w:r>
          </w:p>
        </w:tc>
      </w:tr>
      <w:tr>
        <w:tc>
          <w:tcPr>
            <w:tcW w:w="1247" w:type="dxa"/>
          </w:tcPr>
          <w:p>
            <w:pPr>
              <w:spacing w:after="60"/>
            </w:pPr>
            <w:r/>
            <w:r>
              <w:rPr>
                <w:b w:val="0"/>
                <w:sz w:val="20"/>
              </w:rPr>
              <w:t>S-01</w:t>
            </w:r>
          </w:p>
        </w:tc>
        <w:tc>
          <w:tcPr>
            <w:tcW w:w="1247" w:type="dxa"/>
          </w:tcPr>
          <w:p>
            <w:pPr>
              <w:spacing w:after="60"/>
            </w:pPr>
            <w:r/>
            <w:r>
              <w:rPr>
                <w:b w:val="0"/>
                <w:sz w:val="20"/>
              </w:rPr>
              <w:t>P-42</w:t>
            </w:r>
          </w:p>
        </w:tc>
        <w:tc>
          <w:tcPr>
            <w:tcW w:w="1474" w:type="dxa"/>
          </w:tcPr>
          <w:p>
            <w:pPr>
              <w:spacing w:after="60"/>
            </w:pPr>
            <w:r/>
            <w:r>
              <w:rPr>
                <w:b w:val="0"/>
                <w:sz w:val="20"/>
              </w:rPr>
              <w:t>SAN-01</w:t>
            </w:r>
          </w:p>
        </w:tc>
        <w:tc>
          <w:tcPr>
            <w:tcW w:w="5102" w:type="dxa"/>
          </w:tcPr>
          <w:p>
            <w:pPr>
              <w:spacing w:after="60"/>
            </w:pPr>
            <w:r/>
            <w:r>
              <w:rPr>
                <w:b w:val="0"/>
                <w:sz w:val="20"/>
              </w:rPr>
              <w:t>Os deveres dos CRO e o relatório anual ficam sem coima</w:t>
            </w:r>
          </w:p>
        </w:tc>
      </w:tr>
      <w:tr>
        <w:tc>
          <w:tcPr>
            <w:tcW w:w="1247" w:type="dxa"/>
          </w:tcPr>
          <w:p>
            <w:pPr>
              <w:spacing w:after="60"/>
            </w:pPr>
            <w:r/>
            <w:r>
              <w:rPr>
                <w:b w:val="0"/>
                <w:sz w:val="20"/>
              </w:rPr>
              <w:t>F-01</w:t>
            </w:r>
          </w:p>
        </w:tc>
        <w:tc>
          <w:tcPr>
            <w:tcW w:w="1247" w:type="dxa"/>
          </w:tcPr>
          <w:p>
            <w:pPr>
              <w:spacing w:after="60"/>
            </w:pPr>
            <w:r/>
            <w:r>
              <w:rPr>
                <w:b w:val="0"/>
                <w:sz w:val="20"/>
              </w:rPr>
              <w:t>P-43</w:t>
            </w:r>
          </w:p>
        </w:tc>
        <w:tc>
          <w:tcPr>
            <w:tcW w:w="1474" w:type="dxa"/>
          </w:tcPr>
          <w:p>
            <w:pPr>
              <w:spacing w:after="60"/>
            </w:pPr>
            <w:r/>
            <w:r>
              <w:rPr>
                <w:b w:val="0"/>
                <w:sz w:val="20"/>
              </w:rPr>
              <w:t>FIN-01</w:t>
            </w:r>
          </w:p>
        </w:tc>
        <w:tc>
          <w:tcPr>
            <w:tcW w:w="5102" w:type="dxa"/>
          </w:tcPr>
          <w:p>
            <w:pPr>
              <w:spacing w:after="60"/>
            </w:pPr>
            <w:r/>
            <w:r>
              <w:rPr>
                <w:b w:val="0"/>
                <w:sz w:val="20"/>
              </w:rPr>
              <w:t>A revogação total da Lei 92/95 apaga normas que não tratam de animais de companhia</w:t>
            </w:r>
          </w:p>
        </w:tc>
      </w:tr>
      <w:tr>
        <w:tc>
          <w:tcPr>
            <w:tcW w:w="1247" w:type="dxa"/>
          </w:tcPr>
          <w:p>
            <w:pPr>
              <w:spacing w:after="60"/>
            </w:pPr>
            <w:r/>
            <w:r>
              <w:rPr>
                <w:b w:val="0"/>
                <w:sz w:val="20"/>
              </w:rPr>
              <w:t>F-02</w:t>
            </w:r>
          </w:p>
        </w:tc>
        <w:tc>
          <w:tcPr>
            <w:tcW w:w="1247" w:type="dxa"/>
          </w:tcPr>
          <w:p>
            <w:pPr>
              <w:spacing w:after="60"/>
            </w:pPr>
            <w:r/>
            <w:r>
              <w:rPr>
                <w:b w:val="0"/>
                <w:sz w:val="20"/>
              </w:rPr>
              <w:t>P-44</w:t>
            </w:r>
          </w:p>
        </w:tc>
        <w:tc>
          <w:tcPr>
            <w:tcW w:w="1474" w:type="dxa"/>
          </w:tcPr>
          <w:p>
            <w:pPr>
              <w:spacing w:after="60"/>
            </w:pPr>
            <w:r/>
            <w:r>
              <w:rPr>
                <w:b w:val="0"/>
                <w:sz w:val="20"/>
              </w:rPr>
              <w:t>FIN-02</w:t>
            </w:r>
          </w:p>
        </w:tc>
        <w:tc>
          <w:tcPr>
            <w:tcW w:w="5102" w:type="dxa"/>
          </w:tcPr>
          <w:p>
            <w:pPr>
              <w:spacing w:after="60"/>
            </w:pPr>
            <w:r/>
            <w:r>
              <w:rPr>
                <w:b w:val="0"/>
                <w:sz w:val="20"/>
              </w:rPr>
              <w:t>O DL 74/2007 é ressalvado e revogado ao mesmo tempo</w:t>
            </w:r>
          </w:p>
        </w:tc>
      </w:tr>
      <w:tr>
        <w:tc>
          <w:tcPr>
            <w:tcW w:w="1247" w:type="dxa"/>
          </w:tcPr>
          <w:p>
            <w:pPr>
              <w:spacing w:after="60"/>
            </w:pPr>
            <w:r/>
            <w:r>
              <w:rPr>
                <w:b w:val="0"/>
                <w:sz w:val="20"/>
              </w:rPr>
              <w:t>G-01</w:t>
            </w:r>
          </w:p>
        </w:tc>
        <w:tc>
          <w:tcPr>
            <w:tcW w:w="1247" w:type="dxa"/>
          </w:tcPr>
          <w:p>
            <w:pPr>
              <w:spacing w:after="60"/>
            </w:pPr>
            <w:r/>
            <w:r>
              <w:rPr>
                <w:b w:val="0"/>
                <w:sz w:val="20"/>
              </w:rPr>
              <w:t>P-45</w:t>
            </w:r>
          </w:p>
        </w:tc>
        <w:tc>
          <w:tcPr>
            <w:tcW w:w="1474" w:type="dxa"/>
          </w:tcPr>
          <w:p>
            <w:pPr>
              <w:spacing w:after="60"/>
            </w:pPr>
            <w:r/>
            <w:r>
              <w:rPr>
                <w:b w:val="0"/>
                <w:sz w:val="20"/>
              </w:rPr>
              <w:t>SAN-02</w:t>
            </w:r>
          </w:p>
        </w:tc>
        <w:tc>
          <w:tcPr>
            <w:tcW w:w="5102" w:type="dxa"/>
          </w:tcPr>
          <w:p>
            <w:pPr>
              <w:spacing w:after="60"/>
            </w:pPr>
            <w:r/>
            <w:r>
              <w:rPr>
                <w:b w:val="0"/>
                <w:sz w:val="20"/>
              </w:rPr>
              <w:t>A recolha por razões de bem-estar passa da DGAV para as câmaras e o destino para o médico veterinário municipal</w:t>
            </w:r>
          </w:p>
        </w:tc>
      </w:tr>
      <w:tr>
        <w:tc>
          <w:tcPr>
            <w:tcW w:w="1247" w:type="dxa"/>
          </w:tcPr>
          <w:p>
            <w:pPr>
              <w:spacing w:after="60"/>
            </w:pPr>
            <w:r/>
            <w:r>
              <w:rPr>
                <w:b w:val="0"/>
                <w:sz w:val="20"/>
              </w:rPr>
              <w:t>G-02</w:t>
            </w:r>
          </w:p>
        </w:tc>
        <w:tc>
          <w:tcPr>
            <w:tcW w:w="1247" w:type="dxa"/>
          </w:tcPr>
          <w:p>
            <w:pPr>
              <w:spacing w:after="60"/>
            </w:pPr>
            <w:r/>
            <w:r>
              <w:rPr>
                <w:b w:val="0"/>
                <w:sz w:val="20"/>
              </w:rPr>
              <w:t>P-46</w:t>
            </w:r>
          </w:p>
        </w:tc>
        <w:tc>
          <w:tcPr>
            <w:tcW w:w="1474" w:type="dxa"/>
          </w:tcPr>
          <w:p>
            <w:pPr>
              <w:spacing w:after="60"/>
            </w:pPr>
            <w:r/>
            <w:r>
              <w:rPr>
                <w:b w:val="0"/>
                <w:sz w:val="20"/>
              </w:rPr>
              <w:t>TIT-21</w:t>
            </w:r>
          </w:p>
        </w:tc>
        <w:tc>
          <w:tcPr>
            <w:tcW w:w="5102" w:type="dxa"/>
          </w:tcPr>
          <w:p>
            <w:pPr>
              <w:spacing w:after="60"/>
            </w:pPr>
            <w:r/>
            <w:r>
              <w:rPr>
                <w:b w:val="0"/>
                <w:sz w:val="20"/>
              </w:rPr>
              <w:t>A presunção de abandono aos 15 dias não ressalva animais apreendidos nem animais socorridos em emergência</w:t>
            </w:r>
          </w:p>
        </w:tc>
      </w:tr>
      <w:tr>
        <w:tc>
          <w:tcPr>
            <w:tcW w:w="1247" w:type="dxa"/>
          </w:tcPr>
          <w:p>
            <w:pPr>
              <w:spacing w:after="60"/>
            </w:pPr>
            <w:r/>
            <w:r>
              <w:rPr>
                <w:b w:val="0"/>
                <w:sz w:val="20"/>
              </w:rPr>
              <w:t>S-02</w:t>
            </w:r>
          </w:p>
        </w:tc>
        <w:tc>
          <w:tcPr>
            <w:tcW w:w="1247" w:type="dxa"/>
          </w:tcPr>
          <w:p>
            <w:pPr>
              <w:spacing w:after="60"/>
            </w:pPr>
            <w:r/>
            <w:r>
              <w:rPr>
                <w:b w:val="0"/>
                <w:sz w:val="20"/>
              </w:rPr>
              <w:t>P-47</w:t>
            </w:r>
          </w:p>
        </w:tc>
        <w:tc>
          <w:tcPr>
            <w:tcW w:w="1474" w:type="dxa"/>
          </w:tcPr>
          <w:p>
            <w:pPr>
              <w:spacing w:after="60"/>
            </w:pPr>
            <w:r/>
            <w:r>
              <w:rPr>
                <w:b w:val="0"/>
                <w:sz w:val="20"/>
              </w:rPr>
              <w:t>SAN-03</w:t>
            </w:r>
          </w:p>
        </w:tc>
        <w:tc>
          <w:tcPr>
            <w:tcW w:w="5102" w:type="dxa"/>
          </w:tcPr>
          <w:p>
            <w:pPr>
              <w:spacing w:after="60"/>
            </w:pPr>
            <w:r/>
            <w:r>
              <w:rPr>
                <w:b w:val="0"/>
                <w:sz w:val="20"/>
              </w:rPr>
              <w:t>A apreensão provisória serve só as contraordenações e admite devolver os animais ao local de origem</w:t>
            </w:r>
          </w:p>
        </w:tc>
      </w:tr>
      <w:tr>
        <w:tc>
          <w:tcPr>
            <w:tcW w:w="1247" w:type="dxa"/>
          </w:tcPr>
          <w:p>
            <w:pPr>
              <w:spacing w:after="60"/>
            </w:pPr>
            <w:r/>
            <w:r>
              <w:rPr>
                <w:b w:val="0"/>
                <w:sz w:val="20"/>
              </w:rPr>
              <w:t>E-01</w:t>
            </w:r>
          </w:p>
        </w:tc>
        <w:tc>
          <w:tcPr>
            <w:tcW w:w="1247" w:type="dxa"/>
          </w:tcPr>
          <w:p>
            <w:pPr>
              <w:spacing w:after="60"/>
            </w:pPr>
            <w:r/>
            <w:r>
              <w:rPr>
                <w:b w:val="0"/>
                <w:sz w:val="20"/>
              </w:rPr>
              <w:t>P-48</w:t>
            </w:r>
          </w:p>
        </w:tc>
        <w:tc>
          <w:tcPr>
            <w:tcW w:w="1474" w:type="dxa"/>
          </w:tcPr>
          <w:p>
            <w:pPr>
              <w:spacing w:after="60"/>
            </w:pPr>
            <w:r/>
            <w:r>
              <w:rPr>
                <w:b w:val="0"/>
                <w:sz w:val="20"/>
              </w:rPr>
              <w:t>BEM-02</w:t>
            </w:r>
          </w:p>
        </w:tc>
        <w:tc>
          <w:tcPr>
            <w:tcW w:w="5102" w:type="dxa"/>
          </w:tcPr>
          <w:p>
            <w:pPr>
              <w:spacing w:after="60"/>
            </w:pPr>
            <w:r/>
            <w:r>
              <w:rPr>
                <w:b w:val="0"/>
                <w:sz w:val="20"/>
              </w:rPr>
              <w:t>Nada sobre animais de companhia em acidente grave ou catástrofe</w:t>
            </w:r>
          </w:p>
        </w:tc>
      </w:tr>
      <w:tr>
        <w:tc>
          <w:tcPr>
            <w:tcW w:w="1247" w:type="dxa"/>
          </w:tcPr>
          <w:p>
            <w:pPr>
              <w:spacing w:after="60"/>
            </w:pPr>
            <w:r/>
            <w:r>
              <w:rPr>
                <w:b w:val="0"/>
                <w:sz w:val="20"/>
              </w:rPr>
              <w:t>D-01</w:t>
            </w:r>
          </w:p>
        </w:tc>
        <w:tc>
          <w:tcPr>
            <w:tcW w:w="1247" w:type="dxa"/>
          </w:tcPr>
          <w:p>
            <w:pPr>
              <w:spacing w:after="60"/>
            </w:pPr>
            <w:r/>
            <w:r>
              <w:rPr>
                <w:b w:val="0"/>
                <w:sz w:val="20"/>
              </w:rPr>
              <w:t>P-49</w:t>
            </w:r>
          </w:p>
        </w:tc>
        <w:tc>
          <w:tcPr>
            <w:tcW w:w="1474" w:type="dxa"/>
          </w:tcPr>
          <w:p>
            <w:pPr>
              <w:spacing w:after="60"/>
            </w:pPr>
            <w:r/>
            <w:r>
              <w:rPr>
                <w:b w:val="0"/>
                <w:sz w:val="20"/>
              </w:rPr>
              <w:t>PER-01</w:t>
            </w:r>
          </w:p>
        </w:tc>
        <w:tc>
          <w:tcPr>
            <w:tcW w:w="5102" w:type="dxa"/>
          </w:tcPr>
          <w:p>
            <w:pPr>
              <w:spacing w:after="60"/>
            </w:pPr>
            <w:r/>
            <w:r>
              <w:rPr>
                <w:b w:val="0"/>
                <w:sz w:val="20"/>
              </w:rPr>
              <w:t>Duas vias para retirar a classificação de perigoso, sem ligação entre elas</w:t>
            </w:r>
          </w:p>
        </w:tc>
      </w:tr>
      <w:tr>
        <w:tc>
          <w:tcPr>
            <w:tcW w:w="1247" w:type="dxa"/>
          </w:tcPr>
          <w:p>
            <w:pPr>
              <w:spacing w:after="60"/>
            </w:pPr>
            <w:r/>
            <w:r>
              <w:rPr>
                <w:b w:val="0"/>
                <w:sz w:val="20"/>
              </w:rPr>
              <w:t>E-02</w:t>
            </w:r>
          </w:p>
        </w:tc>
        <w:tc>
          <w:tcPr>
            <w:tcW w:w="1247" w:type="dxa"/>
          </w:tcPr>
          <w:p>
            <w:pPr>
              <w:spacing w:after="60"/>
            </w:pPr>
            <w:r/>
            <w:r>
              <w:rPr>
                <w:b w:val="0"/>
                <w:sz w:val="20"/>
              </w:rPr>
              <w:t>P-50</w:t>
            </w:r>
          </w:p>
        </w:tc>
        <w:tc>
          <w:tcPr>
            <w:tcW w:w="1474" w:type="dxa"/>
          </w:tcPr>
          <w:p>
            <w:pPr>
              <w:spacing w:after="60"/>
            </w:pPr>
            <w:r/>
            <w:r>
              <w:rPr>
                <w:b w:val="0"/>
                <w:sz w:val="20"/>
              </w:rPr>
              <w:t>EST-01</w:t>
            </w:r>
          </w:p>
        </w:tc>
        <w:tc>
          <w:tcPr>
            <w:tcW w:w="5102" w:type="dxa"/>
          </w:tcPr>
          <w:p>
            <w:pPr>
              <w:spacing w:after="60"/>
            </w:pPr>
            <w:r/>
            <w:r>
              <w:rPr>
                <w:b w:val="0"/>
                <w:sz w:val="20"/>
              </w:rPr>
              <w:t>O encerramento de estabelecimentos fica sem medida cautelar, sem regra para os animais e sem efeito no registo</w:t>
            </w:r>
          </w:p>
        </w:tc>
      </w:tr>
      <w:tr>
        <w:tc>
          <w:tcPr>
            <w:tcW w:w="1247" w:type="dxa"/>
          </w:tcPr>
          <w:p>
            <w:pPr>
              <w:spacing w:after="60"/>
            </w:pPr>
            <w:r/>
            <w:r>
              <w:rPr>
                <w:b w:val="0"/>
                <w:sz w:val="20"/>
              </w:rPr>
              <w:t>S-03</w:t>
            </w:r>
          </w:p>
        </w:tc>
        <w:tc>
          <w:tcPr>
            <w:tcW w:w="1247" w:type="dxa"/>
          </w:tcPr>
          <w:p>
            <w:pPr>
              <w:spacing w:after="60"/>
            </w:pPr>
            <w:r/>
            <w:r>
              <w:rPr>
                <w:b w:val="0"/>
                <w:sz w:val="20"/>
              </w:rPr>
              <w:t>P-51</w:t>
            </w:r>
          </w:p>
        </w:tc>
        <w:tc>
          <w:tcPr>
            <w:tcW w:w="1474" w:type="dxa"/>
          </w:tcPr>
          <w:p>
            <w:pPr>
              <w:spacing w:after="60"/>
            </w:pPr>
            <w:r/>
            <w:r>
              <w:rPr>
                <w:b w:val="0"/>
                <w:sz w:val="20"/>
              </w:rPr>
              <w:t>SAN-04</w:t>
            </w:r>
          </w:p>
        </w:tc>
        <w:tc>
          <w:tcPr>
            <w:tcW w:w="5102" w:type="dxa"/>
          </w:tcPr>
          <w:p>
            <w:pPr>
              <w:spacing w:after="60"/>
            </w:pPr>
            <w:r/>
            <w:r>
              <w:rPr>
                <w:b w:val="0"/>
                <w:sz w:val="20"/>
              </w:rPr>
              <w:t>As sanções acessórias perdem a interdição do exercício da atividade</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1.24</w:t>
            </w:r>
          </w:p>
        </w:tc>
        <w:tc>
          <w:tcPr>
            <w:tcW w:w="1417" w:type="dxa"/>
          </w:tcPr>
          <w:p>
            <w:pPr>
              <w:spacing w:after="60"/>
            </w:pPr>
            <w:r/>
            <w:r>
              <w:rPr>
                <w:b w:val="0"/>
                <w:sz w:val="20"/>
              </w:rPr>
              <w:t>20.10.2026</w:t>
            </w:r>
          </w:p>
        </w:tc>
        <w:tc>
          <w:tcPr>
            <w:tcW w:w="6406"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247" w:type="dxa"/>
          </w:tcPr>
          <w:p>
            <w:pPr>
              <w:spacing w:after="60"/>
            </w:pPr>
            <w:r/>
            <w:r>
              <w:rPr>
                <w:b w:val="0"/>
                <w:sz w:val="20"/>
              </w:rPr>
              <w:t>1.25</w:t>
            </w:r>
          </w:p>
        </w:tc>
        <w:tc>
          <w:tcPr>
            <w:tcW w:w="1417" w:type="dxa"/>
          </w:tcPr>
          <w:p>
            <w:pPr>
              <w:spacing w:after="60"/>
            </w:pPr>
            <w:r/>
            <w:r>
              <w:rPr>
                <w:b w:val="0"/>
                <w:sz w:val="20"/>
              </w:rPr>
              <w:t>21.10.2026</w:t>
            </w:r>
          </w:p>
        </w:tc>
        <w:tc>
          <w:tcPr>
            <w:tcW w:w="6406"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247" w:type="dxa"/>
          </w:tcPr>
          <w:p>
            <w:pPr>
              <w:spacing w:after="60"/>
            </w:pPr>
            <w:r/>
            <w:r>
              <w:rPr>
                <w:b w:val="0"/>
                <w:sz w:val="20"/>
              </w:rPr>
              <w:t>1.26</w:t>
            </w:r>
          </w:p>
        </w:tc>
        <w:tc>
          <w:tcPr>
            <w:tcW w:w="1417" w:type="dxa"/>
          </w:tcPr>
          <w:p>
            <w:pPr>
              <w:spacing w:after="60"/>
            </w:pPr>
            <w:r/>
            <w:r>
              <w:rPr>
                <w:b w:val="0"/>
                <w:sz w:val="20"/>
              </w:rPr>
              <w:t>21.10.2026</w:t>
            </w:r>
          </w:p>
        </w:tc>
        <w:tc>
          <w:tcPr>
            <w:tcW w:w="6406"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247" w:type="dxa"/>
          </w:tcPr>
          <w:p>
            <w:pPr>
              <w:spacing w:after="60"/>
            </w:pPr>
            <w:r/>
            <w:r>
              <w:rPr>
                <w:b w:val="0"/>
                <w:sz w:val="20"/>
              </w:rPr>
              <w:t>1.27</w:t>
            </w:r>
          </w:p>
        </w:tc>
        <w:tc>
          <w:tcPr>
            <w:tcW w:w="1417" w:type="dxa"/>
          </w:tcPr>
          <w:p>
            <w:pPr>
              <w:spacing w:after="60"/>
            </w:pPr>
            <w:r/>
            <w:r>
              <w:rPr>
                <w:b w:val="0"/>
                <w:sz w:val="20"/>
              </w:rPr>
              <w:t>21.10.2026</w:t>
            </w:r>
          </w:p>
        </w:tc>
        <w:tc>
          <w:tcPr>
            <w:tcW w:w="6406"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247" w:type="dxa"/>
          </w:tcPr>
          <w:p>
            <w:pPr>
              <w:spacing w:after="60"/>
            </w:pPr>
            <w:r/>
            <w:r>
              <w:rPr>
                <w:b w:val="0"/>
                <w:sz w:val="20"/>
              </w:rPr>
              <w:t>3.0 (ensaio)</w:t>
            </w:r>
          </w:p>
        </w:tc>
        <w:tc>
          <w:tcPr>
            <w:tcW w:w="1417" w:type="dxa"/>
          </w:tcPr>
          <w:p>
            <w:pPr>
              <w:spacing w:after="60"/>
            </w:pPr>
            <w:r/>
            <w:r>
              <w:rPr>
                <w:b w:val="0"/>
                <w:sz w:val="20"/>
              </w:rPr>
              <w:t>27.9.2026</w:t>
            </w:r>
          </w:p>
        </w:tc>
        <w:tc>
          <w:tcPr>
            <w:tcW w:w="6406" w:type="dxa"/>
          </w:tcPr>
          <w:p>
            <w:pPr>
              <w:spacing w:after="60"/>
            </w:pPr>
            <w:r/>
            <w:r>
              <w:rPr>
                <w:b w:val="0"/>
                <w:sz w:val="20"/>
              </w:rPr>
              <w:t>Ensaio da opção B, a partir do ensaio 2.0: o código permanente passa a ser a sigla do tema principal e um número dentro do tema (TIT-01 a TIT-18, CED-01 a CED-17). Localização pela epígrafe, ordem do RGAC e etiquetas mantêm-se como no ensaio 2.0.</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TIT-01 a CED-17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28">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29">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0">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1">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2">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3">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4">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5">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6">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7">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8">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9">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0">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1">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2">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0">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5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8">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9">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0">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1">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62">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3">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4">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5">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6">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7">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8">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9">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0">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1">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72">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3">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4">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5">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3.0 (ensaio), com o conteúdo da versão 1.27.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diariodarepublica.pt/dr/detalhe/lei/6-2022-177309291" TargetMode="External"/><Relationship Id="rId29" Type="http://schemas.openxmlformats.org/officeDocument/2006/relationships/hyperlink" Target="https://files.diariodarepublica.pt/2s/2022/02/031000000/0030000303.pdf" TargetMode="External"/><Relationship Id="rId30" Type="http://schemas.openxmlformats.org/officeDocument/2006/relationships/hyperlink" Target="https://anmp.pt/file-viewer/?pstid=41508" TargetMode="External"/><Relationship Id="rId31"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2"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3" Type="http://schemas.openxmlformats.org/officeDocument/2006/relationships/hyperlink" Target="https://www.icnf.pt/api/file/doc/41f8f44aee23be1a" TargetMode="External"/><Relationship Id="rId34" Type="http://schemas.openxmlformats.org/officeDocument/2006/relationships/hyperlink" Target="https://www.dgav.pt/wp-content/uploads/2021/08/Relatorio-FINAL-avaliacao-da-implementacao-da-Lei-27-2016.pdf" TargetMode="External"/><Relationship Id="rId35" Type="http://schemas.openxmlformats.org/officeDocument/2006/relationships/hyperlink" Target="https://www.provedor-jus.pt/documentos/082A_96.pdf" TargetMode="External"/><Relationship Id="rId36" Type="http://schemas.openxmlformats.org/officeDocument/2006/relationships/hyperlink" Target="https://www.provedor-jus.pt/documentos/canideos-captura-alojamento-e-abate/" TargetMode="External"/><Relationship Id="rId37" Type="http://schemas.openxmlformats.org/officeDocument/2006/relationships/hyperlink" Target="https://www.provedor-jus.pt/documentos/ambiente-salubridade-habitacao-acumulacao-de-residuos-saude-mental-sindrome-de-diogenes-004-a-2013/" TargetMode="External"/><Relationship Id="rId38" Type="http://schemas.openxmlformats.org/officeDocument/2006/relationships/hyperlink" Target="https://www.provedor-jus.pt/documentos/Relat2020%20_Relatorio.pdf" TargetMode="External"/><Relationship Id="rId39" Type="http://schemas.openxmlformats.org/officeDocument/2006/relationships/hyperlink" Target="https://www.provedor-jus.pt/documentos/Relatorio%202023.pdf" TargetMode="External"/><Relationship Id="rId40" Type="http://schemas.openxmlformats.org/officeDocument/2006/relationships/hyperlink" Target="https://food.ec.europa.eu/document/download/caf8cd1d-967a-4e60-a0e5-19401be1c6b3_en?filename=aw_awp_leg_dog-cat_swd-2024-88.pdf" TargetMode="External"/><Relationship Id="rId41" Type="http://schemas.openxmlformats.org/officeDocument/2006/relationships/hyperlink" Target="https://www.woah.org/fileadmin/Home/eng/Health_standards/tahc/2023/chapitre_aw_stray_dog.pdf" TargetMode="External"/><Relationship Id="rId42" Type="http://schemas.openxmlformats.org/officeDocument/2006/relationships/hyperlink" Target="https://www.dgav.pt/wp-content/uploads/2026/03/Relatorio_CROs_2025_31032026-rev.pdf" TargetMode="External"/><Relationship Id="rId43" Type="http://schemas.openxmlformats.org/officeDocument/2006/relationships/hyperlink" Target="https://www.omv.pt/dmdocuments/vi_formacao_omv/abandono_animais_camv_ultimoparecer_nov2015.pdf" TargetMode="External"/><Relationship Id="rId4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5" Type="http://schemas.openxmlformats.org/officeDocument/2006/relationships/hyperlink" Target="https://apmveac.pt/wp-content/uploads/2021/04/Legislacao.Animais.Companhia_09-04-2021-amarelo-final-.pdf" TargetMode="External"/><Relationship Id="rId46" Type="http://schemas.openxmlformats.org/officeDocument/2006/relationships/hyperlink" Target="https://apmveac.pt/wp-content/uploads/2023/09/Parecer-APMVEAC-Consulta-Publica-ENAE.pdf" TargetMode="External"/><Relationship Id="rId47" Type="http://schemas.openxmlformats.org/officeDocument/2006/relationships/hyperlink" Target="https://www.arpa-associacao.pt/media/attachments/2022/12/14/parecer-arpa-versAo-4-final.pdf" TargetMode="External"/><Relationship Id="rId48" Type="http://schemas.openxmlformats.org/officeDocument/2006/relationships/hyperlink" Target="https://www.spea.pt/wp-content/uploads/2020/09/ParecerSPEA_Planos-Gestao-Parques-Naturais-Ilha-2020.pdf" TargetMode="External"/><Relationship Id="rId49" Type="http://schemas.openxmlformats.org/officeDocument/2006/relationships/hyperlink" Target="https://spea.pt/um-gato-feliz-e-alimentado-mantem-o-passarinho-afastado/" TargetMode="External"/><Relationship Id="rId50" Type="http://schemas.openxmlformats.org/officeDocument/2006/relationships/hyperlink" Target="https://matilhascoimbra.pt/pages/projecto-2" TargetMode="External"/><Relationship Id="rId51" Type="http://schemas.openxmlformats.org/officeDocument/2006/relationships/hyperlink" Target="https://www.pan.com.pt/pan-destaca-vitorias-no-bem-estar-animal-mas-denuncia-retrocesso-grave-no-orcamento-do-estado-para-2026/" TargetMode="External"/><Relationship Id="rId52" Type="http://schemas.openxmlformats.org/officeDocument/2006/relationships/hyperlink" Target="https://www.pcp.pt/solucao-prevencao-pela-esterilizacao-rede-publica-de-veterinarios-nao-abate-de-animais-abandonados" TargetMode="External"/><Relationship Id="rId53" Type="http://schemas.openxmlformats.org/officeDocument/2006/relationships/hyperlink" Target="https://www.pcp.pt/campanha-nacional-de-esterilizacao-de-animais-errantes-0" TargetMode="External"/><Relationship Id="rId54" Type="http://schemas.openxmlformats.org/officeDocument/2006/relationships/hyperlink" Target="https://programa.partidolivre.pt/propostas/N.13/" TargetMode="External"/><Relationship Id="rId55" Type="http://schemas.openxmlformats.org/officeDocument/2006/relationships/hyperlink" Target="https://maratonapelosanimais.pt/wp-content/uploads/2024/03/respostas-completas.pdf" TargetMode="External"/><Relationship Id="rId56" Type="http://schemas.openxmlformats.org/officeDocument/2006/relationships/hyperlink" Target="https://www.cidp.pt/revistas/rjlb/2019/2/2019_02_0077_0095.pdf" TargetMode="External"/><Relationship Id="rId57" Type="http://schemas.openxmlformats.org/officeDocument/2006/relationships/hyperlink" Target="https://www.cidp.pt/revistas/rjlb/2019/2/2019_02_0305_0348.pdf" TargetMode="External"/><Relationship Id="rId58" Type="http://schemas.openxmlformats.org/officeDocument/2006/relationships/hyperlink" Target="https://cej.justica.gov.pt/LinkClick.aspx?fileticket=VpuQj7jZ-us%3D&amp;portalid=30" TargetMode="External"/><Relationship Id="rId59" Type="http://schemas.openxmlformats.org/officeDocument/2006/relationships/hyperlink" Target="https://jurisprudencia.pt/acordao/76412/" TargetMode="External"/><Relationship Id="rId60" Type="http://schemas.openxmlformats.org/officeDocument/2006/relationships/hyperlink" Target="https://trc.pt/responsabilidade-civil-danos-causados-por-animais-dever-de-vigilancia/" TargetMode="External"/><Relationship Id="rId61" Type="http://schemas.openxmlformats.org/officeDocument/2006/relationships/hyperlink" Target="https://jurisprudencia.pt/acordao/128487/" TargetMode="External"/><Relationship Id="rId62" Type="http://schemas.openxmlformats.org/officeDocument/2006/relationships/hyperlink" Target="https://www.tribunalconstitucional.pt/tc/acordaos/20210867.html" TargetMode="External"/><Relationship Id="rId63" Type="http://schemas.openxmlformats.org/officeDocument/2006/relationships/hyperlink" Target="https://www.tribunalconstitucional.pt/tc/acordaos/20240070.html" TargetMode="External"/><Relationship Id="rId64" Type="http://schemas.openxmlformats.org/officeDocument/2006/relationships/hyperlink" Target="https://jurisprudencia.pt/acordao/221373/" TargetMode="External"/><Relationship Id="rId65" Type="http://schemas.openxmlformats.org/officeDocument/2006/relationships/hyperlink" Target="https://www.tribunalconstitucional.pt/tc/acordaos/20240478.html" TargetMode="External"/><Relationship Id="rId66" Type="http://schemas.openxmlformats.org/officeDocument/2006/relationships/hyperlink" Target="https://www.dgsi.pt/jtrl.nsf/33182fc732316039802565fa00497eec/7462ba7a0546bac680258c8b0049a31e?OpenDocument" TargetMode="External"/><Relationship Id="rId67" Type="http://schemas.openxmlformats.org/officeDocument/2006/relationships/hyperlink" Target="https://www.dgsi.pt/jtrp.nsf/56a6e7121657f91e80257cda00381fdf/703e8b815ea39ece80258b34004b8157" TargetMode="External"/><Relationship Id="rId68" Type="http://schemas.openxmlformats.org/officeDocument/2006/relationships/hyperlink" Target="https://www.nature.com/articles/ncomms2380" TargetMode="External"/><Relationship Id="rId69" Type="http://schemas.openxmlformats.org/officeDocument/2006/relationships/hyperlink" Target="https://doi.org/10.2460/javma.2005.227.1775" TargetMode="External"/><Relationship Id="rId70" Type="http://schemas.openxmlformats.org/officeDocument/2006/relationships/hyperlink" Target="https://www.frontiersin.org/journals/veterinary-science/articles/10.3389/fvets.2019.00238/full" TargetMode="External"/><Relationship Id="rId71" Type="http://schemas.openxmlformats.org/officeDocument/2006/relationships/hyperlink" Target="https://www.frontiersin.org/journals/veterinary-science/articles/10.3389/fvets.2019.00077/full" TargetMode="External"/><Relationship Id="rId72" Type="http://schemas.openxmlformats.org/officeDocument/2006/relationships/hyperlink" Target="https://doi.org/10.1093/jel/eqz035" TargetMode="External"/><Relationship Id="rId73" Type="http://schemas.openxmlformats.org/officeDocument/2006/relationships/hyperlink" Target="https://pmc.ncbi.nlm.nih.gov/articles/PMC9169806/" TargetMode="External"/><Relationship Id="rId74" Type="http://schemas.openxmlformats.org/officeDocument/2006/relationships/hyperlink" Target="https://pmc.ncbi.nlm.nih.gov/articles/PMC11939513/" TargetMode="External"/><Relationship Id="rId75" Type="http://schemas.openxmlformats.org/officeDocument/2006/relationships/hyperlink" Target="https://dspace.uevora.pt/rdpc/bitstream/10174/38522/1/Gal%C3%A3o%20et%20al_2025_When%20pets%20go%20wild.pdf" TargetMode="External"/><Relationship Id="rId7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