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2.0.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2.0 (ensaio), com o conteúdo da versão 1.30</w:t>
            </w:r>
          </w:p>
        </w:tc>
      </w:tr>
      <w:tr>
        <w:tc>
          <w:tcPr>
            <w:tcW w:w="2551" w:type="dxa"/>
          </w:tcPr>
          <w:p>
            <w:pPr>
              <w:spacing w:after="60"/>
            </w:pPr>
            <w:r/>
            <w:r>
              <w:rPr>
                <w:b/>
                <w:sz w:val="20"/>
              </w:rPr>
              <w:t>Data</w:t>
            </w:r>
          </w:p>
        </w:tc>
        <w:tc>
          <w:tcPr>
            <w:tcW w:w="6520" w:type="dxa"/>
          </w:tcPr>
          <w:p>
            <w:pPr>
              <w:spacing w:after="60"/>
            </w:pPr>
            <w:r/>
            <w:r>
              <w:rPr>
                <w:b w:val="0"/>
                <w:sz w:val="20"/>
              </w:rPr>
              <w:t>22.10.2026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P-41. Duas normas diferentes sobre que espécies são animais de companhia (art. 2.º)</w:t>
      </w:r>
    </w:p>
    <w:p>
      <w:pPr>
        <w:spacing w:after="0"/>
        <w:ind w:left="567"/>
      </w:pPr>
      <w:r>
        <w:rPr>
          <w:b w:val="0"/>
          <w:i w:val="0"/>
        </w:rPr>
        <w:t>P-01. A definição de titular depende só do registo (art. 3.º)</w:t>
      </w:r>
    </w:p>
    <w:p>
      <w:pPr>
        <w:spacing w:after="0"/>
        <w:ind w:left="567"/>
      </w:pPr>
      <w:r>
        <w:rPr>
          <w:b w:val="0"/>
          <w:i w:val="0"/>
        </w:rPr>
        <w:t>P-03. Sem regra sobre o valor do registo SIAC face à propriedade (art. 3.º)</w:t>
      </w:r>
    </w:p>
    <w:p>
      <w:pPr>
        <w:spacing w:after="0"/>
        <w:ind w:left="567"/>
      </w:pPr>
      <w:r>
        <w:rPr>
          <w:b w:val="0"/>
          <w:i w:val="0"/>
        </w:rPr>
        <w:t>P-09. «Titular ou operador» quando o operador já é titular (art. 3.º)</w:t>
      </w:r>
    </w:p>
    <w:p>
      <w:pPr>
        <w:spacing w:after="0"/>
        <w:ind w:left="567"/>
      </w:pPr>
      <w:r>
        <w:rPr>
          <w:b w:val="0"/>
          <w:i w:val="0"/>
        </w:rPr>
        <w:t>P-14. Família de acolhimento sem operador fica sem enquadramento (art. 3.º)</w:t>
      </w:r>
    </w:p>
    <w:p>
      <w:pPr>
        <w:spacing w:after="0"/>
        <w:ind w:left="567"/>
      </w:pPr>
      <w:r>
        <w:rPr>
          <w:b w:val="0"/>
          <w:i w:val="0"/>
        </w:rPr>
        <w:t>P-18. Animais deixados em centros veterinários (art. 3.º)</w:t>
      </w:r>
    </w:p>
    <w:p>
      <w:pPr>
        <w:spacing w:after="0"/>
        <w:ind w:left="567"/>
      </w:pPr>
      <w:r>
        <w:rPr>
          <w:b w:val="0"/>
          <w:i w:val="0"/>
        </w:rPr>
        <w:t>P-36. Nada diz quem é titular quando o animal não tem proprietário (art. 3.º)</w:t>
      </w:r>
    </w:p>
    <w:p>
      <w:pPr>
        <w:spacing w:after="0"/>
        <w:ind w:left="567"/>
      </w:pPr>
      <w:r>
        <w:rPr>
          <w:b w:val="0"/>
          <w:i w:val="0"/>
        </w:rPr>
        <w:t>P-38. A definição de animal errante passa a abranger qualquer animal não identificado (art. 3.º)</w:t>
      </w:r>
    </w:p>
    <w:p>
      <w:pPr>
        <w:spacing w:after="40"/>
      </w:pPr>
    </w:p>
    <w:p>
      <w:pPr>
        <w:spacing w:after="40"/>
      </w:pPr>
      <w:r>
        <w:rPr>
          <w:b/>
          <w:i w:val="0"/>
        </w:rPr>
        <w:t>4. Capítulo II. Princípios Gerais</w:t>
      </w:r>
    </w:p>
    <w:p>
      <w:pPr>
        <w:spacing w:after="0"/>
        <w:ind w:left="567"/>
      </w:pPr>
      <w:r>
        <w:rPr>
          <w:b w:val="0"/>
          <w:i w:val="0"/>
        </w:rPr>
        <w:t>P-13. Quem responde pelos danos causados pelo animal (art. 6.º)</w:t>
      </w:r>
    </w:p>
    <w:p>
      <w:pPr>
        <w:spacing w:after="0"/>
        <w:ind w:left="567"/>
      </w:pPr>
      <w:r>
        <w:rPr>
          <w:b w:val="0"/>
          <w:i w:val="0"/>
        </w:rPr>
        <w:t>P-16. Detentores de facto que dizem tratar de animais errantes (art. 6.º)</w:t>
      </w:r>
    </w:p>
    <w:p>
      <w:pPr>
        <w:spacing w:after="0"/>
        <w:ind w:left="567"/>
      </w:pPr>
      <w:r>
        <w:rPr>
          <w:b w:val="0"/>
          <w:i w:val="0"/>
        </w:rPr>
        <w:t>P-40.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P-12. Redação por decidir no art. 22.º (art. 22.º)</w:t>
      </w:r>
    </w:p>
    <w:p>
      <w:pPr>
        <w:spacing w:after="0"/>
        <w:ind w:left="567"/>
      </w:pPr>
      <w:r>
        <w:rPr>
          <w:b w:val="0"/>
          <w:i w:val="0"/>
        </w:rPr>
        <w:t>P-48. Nada sobre animais de companhia em acidente grave ou catástrofe (art. 25.º)</w:t>
      </w:r>
    </w:p>
    <w:p>
      <w:pPr>
        <w:spacing w:after="0"/>
        <w:ind w:left="567"/>
      </w:pPr>
      <w:r>
        <w:rPr>
          <w:b w:val="0"/>
          <w:i w:val="0"/>
        </w:rPr>
        <w:t>P-50. O encerramento de estabelecimentos fica sem medida cautelar, sem regra para os animais e sem efeito no registo (art. 50.º)</w:t>
      </w:r>
    </w:p>
    <w:p>
      <w:pPr>
        <w:spacing w:after="40"/>
      </w:pPr>
    </w:p>
    <w:p>
      <w:pPr>
        <w:spacing w:after="40"/>
      </w:pPr>
      <w:r>
        <w:rPr>
          <w:b/>
          <w:i w:val="0"/>
        </w:rPr>
        <w:t>6. Capítulo VI. Meios de contenção</w:t>
      </w:r>
    </w:p>
    <w:p>
      <w:pPr>
        <w:spacing w:after="0"/>
        <w:ind w:left="567"/>
      </w:pPr>
      <w:r>
        <w:rPr>
          <w:b w:val="0"/>
          <w:i w:val="0"/>
        </w:rPr>
        <w:t>P-30.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P-02. Registo em nome de quem detém o animal e não de quem é dono (art. 69.º)</w:t>
      </w:r>
    </w:p>
    <w:p>
      <w:pPr>
        <w:spacing w:after="0"/>
        <w:ind w:left="567"/>
      </w:pPr>
      <w:r>
        <w:rPr>
          <w:b w:val="0"/>
          <w:i w:val="0"/>
        </w:rPr>
        <w:t>P-08. Animais perigosos: o operador pode ser uma sociedade, o titular não (art. 69.º)</w:t>
      </w:r>
    </w:p>
    <w:p>
      <w:pPr>
        <w:spacing w:after="0"/>
        <w:ind w:left="567"/>
      </w:pPr>
      <w:r>
        <w:rPr>
          <w:b w:val="0"/>
          <w:i w:val="0"/>
        </w:rPr>
        <w:t>P-10. Terminologia do CRO ainda não uniforme (art. 70.º)</w:t>
      </w:r>
    </w:p>
    <w:p>
      <w:pPr>
        <w:spacing w:after="0"/>
        <w:ind w:left="567"/>
      </w:pPr>
      <w:r>
        <w:rPr>
          <w:b w:val="0"/>
          <w:i w:val="0"/>
        </w:rPr>
        <w:t>P-05. A presunção de abandono remete para normas erradas e não diz a quem se aplica (art. 73.º)</w:t>
      </w:r>
    </w:p>
    <w:p>
      <w:pPr>
        <w:spacing w:after="0"/>
        <w:ind w:left="567"/>
      </w:pPr>
      <w:r>
        <w:rPr>
          <w:b w:val="0"/>
          <w:i w:val="0"/>
        </w:rPr>
        <w:t>P-17. Prazos de comunicação ao SIAC mais pesados do que o Regulamento europeu (art. 73.º)</w:t>
      </w:r>
    </w:p>
    <w:p>
      <w:pPr>
        <w:spacing w:after="0"/>
        <w:ind w:left="567"/>
      </w:pPr>
      <w:r>
        <w:rPr>
          <w:b w:val="0"/>
          <w:i w:val="0"/>
        </w:rPr>
        <w:t>P-04.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P-21. Proibição nacional de alimentar animais na via pública (art. 84.º)</w:t>
      </w:r>
    </w:p>
    <w:p>
      <w:pPr>
        <w:spacing w:after="0"/>
        <w:ind w:left="567"/>
      </w:pPr>
      <w:r>
        <w:rPr>
          <w:b w:val="0"/>
          <w:i w:val="0"/>
        </w:rPr>
        <w:t>P-35. Plano municipal de controlo de errantes sem conteúdo mínimo nem consequências (art. 85.º)</w:t>
      </w:r>
    </w:p>
    <w:p>
      <w:pPr>
        <w:spacing w:after="0"/>
        <w:ind w:left="567"/>
      </w:pPr>
      <w:r>
        <w:rPr>
          <w:b w:val="0"/>
          <w:i w:val="0"/>
        </w:rPr>
        <w:t>P-19. O CED passa a ser só uma faculdade das câmaras (art. 86.º)</w:t>
      </w:r>
    </w:p>
    <w:p>
      <w:pPr>
        <w:spacing w:after="0"/>
        <w:ind w:left="567"/>
      </w:pPr>
      <w:r>
        <w:rPr>
          <w:b w:val="0"/>
          <w:i w:val="0"/>
        </w:rPr>
        <w:t>P-20. O cuidador de colónia não existe no texto (art. 86.º)</w:t>
      </w:r>
    </w:p>
    <w:p>
      <w:pPr>
        <w:spacing w:after="0"/>
        <w:ind w:left="567"/>
      </w:pPr>
      <w:r>
        <w:rPr>
          <w:b w:val="0"/>
          <w:i w:val="0"/>
        </w:rPr>
        <w:t>P-23. Passagem obrigatória pelo CRO antes de o gato entrar na colónia (art. 86.º)</w:t>
      </w:r>
    </w:p>
    <w:p>
      <w:pPr>
        <w:spacing w:after="0"/>
        <w:ind w:left="567"/>
      </w:pPr>
      <w:r>
        <w:rPr>
          <w:b w:val="0"/>
          <w:i w:val="0"/>
        </w:rPr>
        <w:t>P-24. Exclusão dos cães do CED (art. 86.º)</w:t>
      </w:r>
    </w:p>
    <w:p>
      <w:pPr>
        <w:spacing w:after="0"/>
        <w:ind w:left="567"/>
      </w:pPr>
      <w:r>
        <w:rPr>
          <w:b w:val="0"/>
          <w:i w:val="0"/>
        </w:rPr>
        <w:t>P-25. Remissões e numeração erradas no artigo do CED (art. 86.º)</w:t>
      </w:r>
    </w:p>
    <w:p>
      <w:pPr>
        <w:spacing w:after="0"/>
        <w:ind w:left="567"/>
      </w:pPr>
      <w:r>
        <w:rPr>
          <w:b w:val="0"/>
          <w:i w:val="0"/>
        </w:rPr>
        <w:t>P-26. Entidade promotora, entidade responsável e titular: quem responde pela colónia (art. 86.º)</w:t>
      </w:r>
    </w:p>
    <w:p>
      <w:pPr>
        <w:spacing w:after="0"/>
        <w:ind w:left="567"/>
      </w:pPr>
      <w:r>
        <w:rPr>
          <w:b w:val="0"/>
          <w:i w:val="0"/>
        </w:rPr>
        <w:t>P-27. Registo da colónia no SIAC sem conteúdo definido (art. 86.º)</w:t>
      </w:r>
    </w:p>
    <w:p>
      <w:pPr>
        <w:spacing w:after="0"/>
        <w:ind w:left="567"/>
      </w:pPr>
      <w:r>
        <w:rPr>
          <w:b w:val="0"/>
          <w:i w:val="0"/>
        </w:rPr>
        <w:t>P-29. CED e conservação da natureza (art. 86.º)</w:t>
      </w:r>
    </w:p>
    <w:p>
      <w:pPr>
        <w:spacing w:after="0"/>
        <w:ind w:left="567"/>
      </w:pPr>
      <w:r>
        <w:rPr>
          <w:b w:val="0"/>
          <w:i w:val="0"/>
        </w:rPr>
        <w:t>P-31. Crias e gatos sociáveis: retirar ou devolver (art. 86.º)</w:t>
      </w:r>
    </w:p>
    <w:p>
      <w:pPr>
        <w:spacing w:after="0"/>
        <w:ind w:left="567"/>
      </w:pPr>
      <w:r>
        <w:rPr>
          <w:b w:val="0"/>
          <w:i w:val="0"/>
        </w:rPr>
        <w:t>P-32. Suspensão do programa e recolha dos gatos sem garantias (art. 86.º)</w:t>
      </w:r>
    </w:p>
    <w:p>
      <w:pPr>
        <w:spacing w:after="0"/>
        <w:ind w:left="567"/>
      </w:pPr>
      <w:r>
        <w:rPr>
          <w:b w:val="0"/>
          <w:i w:val="0"/>
        </w:rPr>
        <w:t>P-33. Meios: médicos veterinários municipais e financiamento (art. 86.º)</w:t>
      </w:r>
    </w:p>
    <w:p>
      <w:pPr>
        <w:spacing w:after="0"/>
        <w:ind w:left="567"/>
      </w:pPr>
      <w:r>
        <w:rPr>
          <w:b w:val="0"/>
          <w:i w:val="0"/>
        </w:rPr>
        <w:t>P-34. Conflito com vizinhos e dimensão da colónia (art. 86.º)</w:t>
      </w:r>
    </w:p>
    <w:p>
      <w:pPr>
        <w:spacing w:after="0"/>
        <w:ind w:left="567"/>
      </w:pPr>
      <w:r>
        <w:rPr>
          <w:b w:val="0"/>
          <w:i w:val="0"/>
        </w:rPr>
        <w:t>P-28. Colónias em prédios privados (art. 87.º)</w:t>
      </w:r>
    </w:p>
    <w:p>
      <w:pPr>
        <w:spacing w:after="0"/>
        <w:ind w:left="567"/>
      </w:pPr>
      <w:r>
        <w:rPr>
          <w:b w:val="0"/>
          <w:i w:val="0"/>
        </w:rPr>
        <w:t>P-15. Quem encontra um animal passa a poder ser punido (art. 91.º)</w:t>
      </w:r>
    </w:p>
    <w:p>
      <w:pPr>
        <w:spacing w:after="0"/>
        <w:ind w:left="567"/>
      </w:pPr>
      <w:r>
        <w:rPr>
          <w:b w:val="0"/>
          <w:i w:val="0"/>
        </w:rPr>
        <w:t>P-22. Só as câmaras podem capturar, mas o CED pode ser gerido por outras entidades (art. 91.º)</w:t>
      </w:r>
    </w:p>
    <w:p>
      <w:pPr>
        <w:spacing w:after="0"/>
        <w:ind w:left="567"/>
      </w:pPr>
      <w:r>
        <w:rPr>
          <w:b w:val="0"/>
          <w:i w:val="0"/>
        </w:rPr>
        <w:t>P-39. A Lei 75/2013 ainda atribui às câmaras o abate de canídeos e gatídeos (art. 91.º)</w:t>
      </w:r>
    </w:p>
    <w:p>
      <w:pPr>
        <w:spacing w:after="0"/>
        <w:ind w:left="567"/>
      </w:pPr>
      <w:r>
        <w:rPr>
          <w:b w:val="0"/>
          <w:i w:val="0"/>
        </w:rPr>
        <w:t>P-45. A recolha por razões de bem-estar passa da DGAV para as câmaras e o destino para o médico veterinário municipal (art. 91.º)</w:t>
      </w:r>
    </w:p>
    <w:p>
      <w:pPr>
        <w:spacing w:after="0"/>
        <w:ind w:left="567"/>
      </w:pPr>
      <w:r>
        <w:rPr>
          <w:b w:val="0"/>
          <w:i w:val="0"/>
        </w:rPr>
        <w:t>P-37. Quem acolhe um animal errante pode ficar sem saída lícita (art. 94.º)</w:t>
      </w:r>
    </w:p>
    <w:p>
      <w:pPr>
        <w:spacing w:after="0"/>
        <w:ind w:left="567"/>
      </w:pPr>
      <w:r>
        <w:rPr>
          <w:b w:val="0"/>
          <w:i w:val="0"/>
        </w:rPr>
        <w:t>P-46. A presunção de abandono aos 15 dias não ressalva animais apreendidos nem animais socorridos em emergência (art. 98.º)</w:t>
      </w:r>
    </w:p>
    <w:p>
      <w:pPr>
        <w:spacing w:after="40"/>
      </w:pPr>
    </w:p>
    <w:p>
      <w:pPr>
        <w:spacing w:after="40"/>
      </w:pPr>
      <w:r>
        <w:rPr>
          <w:b/>
          <w:i w:val="0"/>
        </w:rPr>
        <w:t>9. Capítulo XIV. Detenção de animais perigosos ou potencialmente perigosos</w:t>
      </w:r>
    </w:p>
    <w:p>
      <w:pPr>
        <w:spacing w:after="0"/>
        <w:ind w:left="567"/>
      </w:pPr>
      <w:r>
        <w:rPr>
          <w:b w:val="0"/>
          <w:i w:val="0"/>
        </w:rPr>
        <w:t>P-49. Duas vias para retirar a classificação de perigoso, sem ligação entre elas (art. 120.º)</w:t>
      </w:r>
    </w:p>
    <w:p>
      <w:pPr>
        <w:spacing w:after="40"/>
      </w:pPr>
    </w:p>
    <w:p>
      <w:pPr>
        <w:spacing w:after="40"/>
      </w:pPr>
      <w:r>
        <w:rPr>
          <w:b/>
          <w:i w:val="0"/>
        </w:rPr>
        <w:t>10. Capítulo XV. Medidas administrativas, fiscalização e contraordenações</w:t>
      </w:r>
    </w:p>
    <w:p>
      <w:pPr>
        <w:spacing w:after="0"/>
        <w:ind w:left="567"/>
      </w:pPr>
      <w:r>
        <w:rPr>
          <w:b w:val="0"/>
          <w:i w:val="0"/>
        </w:rPr>
        <w:t>P-52. O dever geral de colaboração de terceiros e a coima por recusa de informações não passam para o RGAC (art. 138.º)</w:t>
      </w:r>
    </w:p>
    <w:p>
      <w:pPr>
        <w:spacing w:after="0"/>
        <w:ind w:left="567"/>
      </w:pPr>
      <w:r>
        <w:rPr>
          <w:b w:val="0"/>
          <w:i w:val="0"/>
        </w:rPr>
        <w:t>P-47. A apreensão provisória serve só as contraordenações e admite devolver os animais ao local de origem (art. 139.º)</w:t>
      </w:r>
    </w:p>
    <w:p>
      <w:pPr>
        <w:spacing w:after="0"/>
        <w:ind w:left="567"/>
      </w:pPr>
      <w:r>
        <w:rPr>
          <w:b w:val="0"/>
          <w:i w:val="0"/>
        </w:rPr>
        <w:t>P-06. O abandono não aparece como contraordenação (art. 140.º)</w:t>
      </w:r>
    </w:p>
    <w:p>
      <w:pPr>
        <w:spacing w:after="0"/>
        <w:ind w:left="567"/>
      </w:pPr>
      <w:r>
        <w:rPr>
          <w:b w:val="0"/>
          <w:i w:val="0"/>
        </w:rPr>
        <w:t>P-11. Contraordenação dirigida só aos detentores (art. 140.º)</w:t>
      </w:r>
    </w:p>
    <w:p>
      <w:pPr>
        <w:spacing w:after="0"/>
        <w:ind w:left="567"/>
      </w:pPr>
      <w:r>
        <w:rPr>
          <w:b w:val="0"/>
          <w:i w:val="0"/>
        </w:rPr>
        <w:t>P-42. Os deveres dos CRO e o relatório anual ficam sem coima (art. 140.º)</w:t>
      </w:r>
    </w:p>
    <w:p>
      <w:pPr>
        <w:spacing w:after="0"/>
        <w:ind w:left="567"/>
      </w:pPr>
      <w:r>
        <w:rPr>
          <w:b w:val="0"/>
          <w:i w:val="0"/>
        </w:rPr>
        <w:t>P-51. As sanções acessórias perdem a interdição do exercício da atividade (art. 141.º)</w:t>
      </w:r>
    </w:p>
    <w:p>
      <w:pPr>
        <w:spacing w:after="40"/>
      </w:pPr>
    </w:p>
    <w:p>
      <w:pPr>
        <w:spacing w:after="40"/>
      </w:pPr>
      <w:r>
        <w:rPr>
          <w:b/>
          <w:i w:val="0"/>
        </w:rPr>
        <w:t>11. Capítulo XVI. Disposições complementares, finais e transitórias</w:t>
      </w:r>
    </w:p>
    <w:p>
      <w:pPr>
        <w:spacing w:after="0"/>
        <w:ind w:left="567"/>
      </w:pPr>
      <w:r>
        <w:rPr>
          <w:b w:val="0"/>
          <w:i w:val="0"/>
        </w:rPr>
        <w:t>P-07. As portarias mantidas usam detentor no sentido antigo (art. 149.º)</w:t>
      </w:r>
    </w:p>
    <w:p>
      <w:pPr>
        <w:spacing w:after="0"/>
        <w:ind w:left="567"/>
      </w:pPr>
      <w:r>
        <w:rPr>
          <w:b w:val="0"/>
          <w:i w:val="0"/>
        </w:rPr>
        <w:t>P-43. A revogação total da Lei 92/95 apaga normas que não tratam de animais de companhia (art. 149.º)</w:t>
      </w:r>
    </w:p>
    <w:p>
      <w:pPr>
        <w:spacing w:after="0"/>
        <w:ind w:left="567"/>
      </w:pPr>
      <w:r>
        <w:rPr>
          <w:b w:val="0"/>
          <w:i w:val="0"/>
        </w:rPr>
        <w:t>P-44. O DL 74/2007 é ressalvado e revogado ao mesmo tempo (art. 149.º)</w:t>
      </w:r>
    </w:p>
    <w:p>
      <w:pPr>
        <w:spacing w:after="40"/>
      </w:pPr>
    </w:p>
    <w:p>
      <w:pPr>
        <w:spacing w:after="40"/>
      </w:pPr>
      <w:r>
        <w:rPr>
          <w:b/>
          <w:i w:val="0"/>
        </w:rPr>
        <w:t>12.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da versão 1.x</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(P-01, P-02, ...), atribuído pela ordem de criação. O código não diz o tema nem o capítulo e nunca muda, mesmo que o RGAC seja renumerado. Quando um problema fica resolvido, a ficha mantém-se com o estado Resolvido.</w:t>
      </w:r>
    </w:p>
    <w:p>
      <w:r>
        <w:rPr>
          <w:b w:val="0"/>
          <w:i w:val="0"/>
        </w:rPr>
        <w:t>Os temas (titularidade, CED e errantes, registo, e outros) são etiquetas. Uma ficha pode ter mais de uma. O Anexo E agrupa as fichas por etiqueta.</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P-01, P-03, P-09, P-14, P-18, P-36, P-13, P-16, P-12, P-02, P-08, P-10, P-05, P-17, P-04, P-15, P-37, P-46, P-06, P-11, P-07.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P-38, P-30, P-21, P-35, P-19, P-20, P-23, P-24, P-25, P-26, P-27, P-29, P-31, P-32, P-33, P-34, P-28, P-22, P-39, P-37.</w:t>
      </w:r>
    </w:p>
    <w:p>
      <w:r>
        <w:br w:type="page"/>
      </w:r>
    </w:p>
    <w:p>
      <w:pPr>
        <w:pStyle w:val="Heading1"/>
      </w:pPr>
      <w:r>
        <w:rPr>
          <w:i w:val="0"/>
          <w:color w:val="000000"/>
        </w:rPr>
        <w:t>3. Capítulo I. Disposições Gerais</w:t>
      </w:r>
    </w:p>
    <w:p>
      <w:pPr>
        <w:pStyle w:val="Heading2"/>
      </w:pPr>
      <w:r>
        <w:rPr>
          <w:i w:val="0"/>
          <w:color w:val="000000"/>
        </w:rPr>
        <w:t>P-41.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P-02, P-03</w:t>
            </w:r>
          </w:p>
        </w:tc>
      </w:tr>
    </w:tbl>
    <w:p/>
    <w:p>
      <w:pPr>
        <w:pStyle w:val="Heading2"/>
      </w:pPr>
      <w:r>
        <w:rPr>
          <w:i w:val="0"/>
          <w:color w:val="000000"/>
        </w:rPr>
        <w:t>P-03.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P-37).</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P-13, P-20, P-37</w:t>
            </w:r>
          </w:p>
        </w:tc>
      </w:tr>
    </w:tbl>
    <w:p/>
    <w:p>
      <w:pPr>
        <w:pStyle w:val="Heading2"/>
      </w:pPr>
      <w:r>
        <w:rPr>
          <w:i w:val="0"/>
          <w:color w:val="000000"/>
        </w:rPr>
        <w:t>P-18.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 P-06</w:t>
            </w:r>
          </w:p>
        </w:tc>
      </w:tr>
    </w:tbl>
    <w:p/>
    <w:p>
      <w:pPr>
        <w:pStyle w:val="Heading2"/>
      </w:pPr>
      <w:r>
        <w:rPr>
          <w:i w:val="0"/>
          <w:color w:val="000000"/>
        </w:rPr>
        <w:t>P-36.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P-03, e acrescentar uma norma supletiva: não havendo proprietário conhecido, é titular a entidade a quem a lei comete a responsabilidade pelo animal, designadamente a câmara municipal, através do CRO, nos casos de recolha e nos programas CED. Esta proposta qualifica a da ficha P-01: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P-02, P-03, P-26</w:t>
            </w:r>
          </w:p>
        </w:tc>
      </w:tr>
    </w:tbl>
    <w:p/>
    <w:p>
      <w:pPr>
        <w:pStyle w:val="Heading2"/>
      </w:pPr>
      <w:r>
        <w:rPr>
          <w:i w:val="0"/>
          <w:color w:val="000000"/>
        </w:rPr>
        <w:t>P-38.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P-30).</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P-30, P-15</w:t>
            </w:r>
          </w:p>
        </w:tc>
      </w:tr>
    </w:tbl>
    <w:p/>
    <w:p>
      <w:r>
        <w:br w:type="page"/>
      </w:r>
    </w:p>
    <w:p>
      <w:pPr>
        <w:pStyle w:val="Heading1"/>
      </w:pPr>
      <w:r>
        <w:rPr>
          <w:i w:val="0"/>
          <w:color w:val="000000"/>
        </w:rPr>
        <w:t>4. Capítulo II. Princípios Gerais</w:t>
      </w:r>
    </w:p>
    <w:p>
      <w:pPr>
        <w:pStyle w:val="Heading2"/>
      </w:pPr>
      <w:r>
        <w:rPr>
          <w:i w:val="0"/>
          <w:color w:val="000000"/>
        </w:rPr>
        <w:t>P-13.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P-26</w:t>
            </w:r>
          </w:p>
        </w:tc>
      </w:tr>
    </w:tbl>
    <w:p/>
    <w:p>
      <w:pPr>
        <w:pStyle w:val="Heading2"/>
      </w:pPr>
      <w:r>
        <w:rPr>
          <w:i w:val="0"/>
          <w:color w:val="000000"/>
        </w:rPr>
        <w:t>P-16.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P-28</w:t>
            </w:r>
          </w:p>
        </w:tc>
      </w:tr>
    </w:tbl>
    <w:p/>
    <w:p>
      <w:pPr>
        <w:pStyle w:val="Heading2"/>
      </w:pPr>
      <w:r>
        <w:rPr>
          <w:i w:val="0"/>
          <w:color w:val="000000"/>
        </w:rPr>
        <w:t>P-40.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P-12.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P-48.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w:t>
            </w:r>
          </w:p>
          <w:p>
            <w:pPr>
              <w:spacing w:after="60"/>
            </w:pPr>
            <w:r>
              <w:rPr>
                <w:b w:val="0"/>
                <w:sz w:val="20"/>
              </w:rPr>
              <w:t>art. 98.º, n.º 13</w:t>
            </w:r>
          </w:p>
          <w:p>
            <w:pPr>
              <w:spacing w:after="60"/>
            </w:pPr>
            <w:r>
              <w:rPr>
                <w:b w:val="0"/>
                <w:sz w:val="20"/>
              </w:rPr>
              <w:t>Lei 38/2026, de 3 de agosto</w:t>
            </w:r>
          </w:p>
          <w:p>
            <w:pPr>
              <w:spacing w:after="60"/>
            </w:pPr>
            <w:r>
              <w:rPr>
                <w:b w:val="0"/>
                <w:sz w:val="20"/>
              </w:rPr>
              <w:t>Artigo principal: art. 25.º, Sistemas de proteção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 Estabelecimentos e operadores;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P-46).</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P-46</w:t>
            </w:r>
          </w:p>
        </w:tc>
      </w:tr>
    </w:tbl>
    <w:p/>
    <w:p>
      <w:pPr>
        <w:pStyle w:val="Heading2"/>
      </w:pPr>
      <w:r>
        <w:rPr>
          <w:i w:val="0"/>
          <w:color w:val="000000"/>
        </w:rPr>
        <w:t>P-50. O encerramento de estabelecimentos fica sem medida cautelar, sem regra para os animais e sem efeito no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50.º, n.ºs 1, 4 e 7</w:t>
            </w:r>
          </w:p>
          <w:p>
            <w:pPr>
              <w:spacing w:after="60"/>
            </w:pPr>
            <w:r>
              <w:rPr>
                <w:b w:val="0"/>
                <w:sz w:val="20"/>
              </w:rPr>
              <w:t>art. 49.º, n.º 2</w:t>
            </w:r>
          </w:p>
          <w:p>
            <w:pPr>
              <w:spacing w:after="60"/>
            </w:pPr>
            <w:r>
              <w:rPr>
                <w:b w:val="0"/>
                <w:sz w:val="20"/>
              </w:rPr>
              <w:t>art. 51.º</w:t>
            </w:r>
          </w:p>
          <w:p>
            <w:pPr>
              <w:spacing w:after="60"/>
            </w:pPr>
            <w:r>
              <w:rPr>
                <w:b w:val="0"/>
                <w:sz w:val="20"/>
              </w:rPr>
              <w:t>art. 139.º, n.º 1</w:t>
            </w:r>
          </w:p>
          <w:p>
            <w:pPr>
              <w:spacing w:after="60"/>
            </w:pPr>
            <w:r>
              <w:rPr>
                <w:b w:val="0"/>
                <w:sz w:val="20"/>
              </w:rPr>
              <w:t>art. 141.º, n.º 1</w:t>
            </w:r>
          </w:p>
          <w:p>
            <w:pPr>
              <w:spacing w:after="60"/>
            </w:pPr>
            <w:r>
              <w:rPr>
                <w:b w:val="0"/>
                <w:sz w:val="20"/>
              </w:rPr>
              <w:t>Artigo principal: art. 50.º, Suspensão de atividade e encerramento dos estabelecimentos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Estabelecimentos e operadores; Bem-estar e deveres de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50.º repete o art. 3.º-G do DL 276/2001. O diretor-geral suspende ou encerra depois de processo instruído pela DSAVR, com relatório e proposta. Não há medida cautelar própria para o período entre a fiscalização e a decisão final. Hoje a DGAV tem de recorrer à medida provisória do art. 89.º do CPA ou às medidas cautelares do art. 48.º do RJCE, que só servem dentro de um processo de contraordenação e que o art. 27.º do RJCE afasta quando o mesmo facto é crime.</w:t>
            </w:r>
          </w:p>
          <w:p>
            <w:pPr>
              <w:spacing w:after="60"/>
            </w:pPr>
            <w:r>
              <w:rPr>
                <w:b w:val="0"/>
                <w:sz w:val="20"/>
              </w:rPr>
              <w:t>O caso do alojamento PT1225FL, em Amarante, mostra a falha. A fiscalização foi em 22.6.2026. Os animais saíram no próprio dia pela via penal. A proposta de encerramento chegou ao diretor-geral em setembro, sem medida provisória, com o prazo de caducidade de 120 dias do art. 128.º, n.º 6 do CPA a correr e sem que a lei diga se se conta em dias úteis.</w:t>
            </w:r>
          </w:p>
          <w:p>
            <w:pPr>
              <w:spacing w:after="60"/>
            </w:pPr>
            <w:r>
              <w:rPr>
                <w:b w:val="0"/>
                <w:sz w:val="20"/>
              </w:rPr>
              <w:t>O n.º 7 manda as câmaras executar a decisão e recolher os animais «nos termos do artigo XX.º (recolha e encaminhamento de animais)», artigo que ainda não existe. Hoje a cadeia funciona por arrastamento: a câmara recolhe (DL 276/2001, art. 3.º-G, n.º 6), os animais entram no CRO e seguem o regime do CRO (DL 276/2001, art. 19.º, n.ºs 3 e 4; DL 314/2003, art. 9.º; Lei 27/2016, art. 3.º, n.º 1; DL 82/2019, art. 11.º, n.º 5). O que falta é a remissão expressa, uma regra de capacidade do CRO para efetivos grandes, a imputação dos encargos ao titular quando não reclama os animais, e a ressalva dos animais apreendidos em processo penal (CPP, arts. 178.º e 186.º) ou ao abrigo do art. 139.º. O n.º 7 remete ainda para «os n.ºs 3 e 4», que são a instrução e a regra da suspensão (ver L-18).</w:t>
            </w:r>
          </w:p>
          <w:p>
            <w:pPr>
              <w:spacing w:after="60"/>
            </w:pPr>
            <w:r>
              <w:rPr>
                <w:b w:val="0"/>
                <w:sz w:val="20"/>
              </w:rPr>
              <w:t>O encerramento não tem efeito no registo. O número de identificação é pessoal e intransmissível (DL 276/2001, art. 3.º, n.º 11), mas nada impede o titular de apresentar nova mera comunicação prévia no dia seguinte, para o mesmo local ou para outro. O art. 49.º, n.º 2 trata só da cessação voluntária. O art. 51.º só prevê a reabertura após suspensão. O único travão seria a sanção acessória de interdição, que o RGAC deixa cair (ver P-51).</w:t>
            </w:r>
          </w:p>
          <w:p>
            <w:pPr>
              <w:spacing w:after="60"/>
            </w:pPr>
            <w:r>
              <w:rPr>
                <w:b w:val="0"/>
                <w:sz w:val="20"/>
              </w:rPr>
              <w:t>O artigo deixa ao CPA a audiência prévia, a dispensa por urgência e o prazo de decisão. Num procedimento de polícia sanitária com animais vivos, estas regras gerais chegam tarde: a urgência que justificaria a dispensa de audiência esgota-se com a retirada dos animais, e a decisão final chega a um local já vazio.</w:t>
            </w:r>
          </w:p>
        </w:tc>
      </w:tr>
      <w:tr>
        <w:tc>
          <w:tcPr>
            <w:tcW w:w="1984" w:type="dxa"/>
          </w:tcPr>
          <w:p>
            <w:pPr>
              <w:spacing w:after="60"/>
            </w:pPr>
            <w:r/>
            <w:r>
              <w:rPr>
                <w:b/>
                <w:sz w:val="20"/>
              </w:rPr>
              <w:t>Proposta</w:t>
            </w:r>
          </w:p>
        </w:tc>
        <w:tc>
          <w:tcPr>
            <w:tcW w:w="7087" w:type="dxa"/>
          </w:tcPr>
          <w:p>
            <w:pPr>
              <w:spacing w:after="60"/>
            </w:pPr>
            <w:r/>
            <w:r>
              <w:rPr>
                <w:b w:val="0"/>
                <w:sz w:val="20"/>
              </w:rPr>
              <w:t>Rever o art. 50.º: (i) poder de suspensão cautelar imediata da atividade, pelo diretor-geral ou pela DSAVR, sem audiência prévia, com prazo e com audiência posterior, nos termos do art. 89.º do CPA; (ii) norma sobre os animais em caso de suspensão ou encerramento: quem os recolhe, onde ficam, quem decide o destino, encargos a cargo do titular, e ressalva dos animais apreendidos em processo penal ou contraordenacional; (iii) efeito do encerramento no registo: cancelamento do número de identificação e prazo durante o qual o titular não pode apresentar nova comunicação prévia, articulado com a sanção acessória de interdição; (iv) prazo próprio para a decisão, com ressalva expressa do art. 128.º, n.º 6 do CPA; (v) corrigir as remissões do n.º 7 (L-18).</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P-51, P-47, P-45, P-48</w:t>
            </w:r>
          </w:p>
        </w:tc>
      </w:tr>
    </w:tbl>
    <w:p/>
    <w:p>
      <w:r>
        <w:br w:type="page"/>
      </w:r>
    </w:p>
    <w:p>
      <w:pPr>
        <w:pStyle w:val="Heading1"/>
      </w:pPr>
      <w:r>
        <w:rPr>
          <w:i w:val="0"/>
          <w:color w:val="000000"/>
        </w:rPr>
        <w:t>6. Capítulo VI. Meios de contenção</w:t>
      </w:r>
    </w:p>
    <w:p>
      <w:pPr>
        <w:pStyle w:val="Heading2"/>
      </w:pPr>
      <w:r>
        <w:rPr>
          <w:i w:val="0"/>
          <w:color w:val="000000"/>
        </w:rPr>
        <w:t>P-30.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P-02.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(P-01),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P-14</w:t>
            </w:r>
          </w:p>
        </w:tc>
      </w:tr>
    </w:tbl>
    <w:p/>
    <w:p>
      <w:pPr>
        <w:pStyle w:val="Heading2"/>
      </w:pPr>
      <w:r>
        <w:rPr>
          <w:i w:val="0"/>
          <w:color w:val="000000"/>
        </w:rPr>
        <w:t>P-08.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P-05.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P-04, P-06</w:t>
            </w:r>
          </w:p>
        </w:tc>
      </w:tr>
    </w:tbl>
    <w:p/>
    <w:p>
      <w:pPr>
        <w:pStyle w:val="Heading2"/>
      </w:pPr>
      <w:r>
        <w:rPr>
          <w:i w:val="0"/>
          <w:color w:val="000000"/>
        </w:rPr>
        <w:t>P-17.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(P-05).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r>
        <w:br w:type="page"/>
      </w:r>
    </w:p>
    <w:p>
      <w:pPr>
        <w:pStyle w:val="Heading1"/>
      </w:pPr>
      <w:r>
        <w:rPr>
          <w:i w:val="0"/>
          <w:color w:val="000000"/>
        </w:rPr>
        <w:t>8. Capítulo X. Gestão das populações animais</w:t>
      </w:r>
    </w:p>
    <w:p>
      <w:pPr>
        <w:pStyle w:val="Heading2"/>
      </w:pPr>
      <w:r>
        <w:rPr>
          <w:i w:val="0"/>
          <w:color w:val="000000"/>
        </w:rPr>
        <w:t>P-21.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(P-20) e com o CED dependente de autorização (P-19),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P-35.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P-27</w:t>
            </w:r>
          </w:p>
        </w:tc>
      </w:tr>
    </w:tbl>
    <w:p/>
    <w:p>
      <w:pPr>
        <w:pStyle w:val="Heading2"/>
      </w:pPr>
      <w:r>
        <w:rPr>
          <w:i w:val="0"/>
          <w:color w:val="000000"/>
        </w:rPr>
        <w:t>P-19.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P-39).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P-39</w:t>
            </w:r>
          </w:p>
        </w:tc>
      </w:tr>
    </w:tbl>
    <w:p/>
    <w:p>
      <w:pPr>
        <w:pStyle w:val="Heading2"/>
      </w:pPr>
      <w:r>
        <w:rPr>
          <w:i w:val="0"/>
          <w:color w:val="000000"/>
        </w:rPr>
        <w:t>P-20.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(P-13) e à proibição de alimentar (P-21).</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P-21, P-13, P-14</w:t>
            </w:r>
          </w:p>
        </w:tc>
      </w:tr>
    </w:tbl>
    <w:p/>
    <w:p>
      <w:pPr>
        <w:pStyle w:val="Heading2"/>
      </w:pPr>
      <w:r>
        <w:rPr>
          <w:i w:val="0"/>
          <w:color w:val="000000"/>
        </w:rPr>
        <w:t>P-23.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P-24.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P-25.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P-26.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P-13, P-22</w:t>
            </w:r>
          </w:p>
        </w:tc>
      </w:tr>
    </w:tbl>
    <w:p/>
    <w:p>
      <w:pPr>
        <w:pStyle w:val="Heading2"/>
      </w:pPr>
      <w:r>
        <w:rPr>
          <w:i w:val="0"/>
          <w:color w:val="000000"/>
        </w:rPr>
        <w:t>P-27.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P-29.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P-31.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P-15</w:t>
            </w:r>
          </w:p>
        </w:tc>
      </w:tr>
    </w:tbl>
    <w:p/>
    <w:p>
      <w:pPr>
        <w:pStyle w:val="Heading2"/>
      </w:pPr>
      <w:r>
        <w:rPr>
          <w:i w:val="0"/>
          <w:color w:val="000000"/>
        </w:rPr>
        <w:t>P-32.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P-25</w:t>
            </w:r>
          </w:p>
        </w:tc>
      </w:tr>
    </w:tbl>
    <w:p/>
    <w:p>
      <w:pPr>
        <w:pStyle w:val="Heading2"/>
      </w:pPr>
      <w:r>
        <w:rPr>
          <w:i w:val="0"/>
          <w:color w:val="000000"/>
        </w:rPr>
        <w:t>P-33.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P-34.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P-32</w:t>
            </w:r>
          </w:p>
        </w:tc>
      </w:tr>
    </w:tbl>
    <w:p/>
    <w:p>
      <w:pPr>
        <w:pStyle w:val="Heading2"/>
      </w:pPr>
      <w:r>
        <w:rPr>
          <w:i w:val="0"/>
          <w:color w:val="000000"/>
        </w:rPr>
        <w:t>P-28.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P-16</w:t>
            </w:r>
          </w:p>
        </w:tc>
      </w:tr>
    </w:tbl>
    <w:p/>
    <w:p>
      <w:pPr>
        <w:pStyle w:val="Heading2"/>
      </w:pPr>
      <w:r>
        <w:rPr>
          <w:i w:val="0"/>
          <w:color w:val="000000"/>
        </w:rPr>
        <w:t>P-15.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P-22).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P-34, P-22, P-37</w:t>
            </w:r>
          </w:p>
        </w:tc>
      </w:tr>
    </w:tbl>
    <w:p/>
    <w:p>
      <w:pPr>
        <w:pStyle w:val="Heading2"/>
      </w:pPr>
      <w:r>
        <w:rPr>
          <w:i w:val="0"/>
          <w:color w:val="000000"/>
        </w:rPr>
        <w:t>P-22.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P-26</w:t>
            </w:r>
          </w:p>
        </w:tc>
      </w:tr>
    </w:tbl>
    <w:p/>
    <w:p>
      <w:pPr>
        <w:pStyle w:val="Heading2"/>
      </w:pPr>
      <w:r>
        <w:rPr>
          <w:i w:val="0"/>
          <w:color w:val="000000"/>
        </w:rPr>
        <w:t>P-39.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w:t>
            </w:r>
          </w:p>
        </w:tc>
      </w:tr>
    </w:tbl>
    <w:p/>
    <w:p>
      <w:pPr>
        <w:pStyle w:val="Heading2"/>
      </w:pPr>
      <w:r>
        <w:rPr>
          <w:i w:val="0"/>
          <w:color w:val="000000"/>
        </w:rPr>
        <w:t>P-45.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w:t>
            </w:r>
          </w:p>
          <w:p>
            <w:pPr>
              <w:spacing w:after="60"/>
            </w:pPr>
            <w:r>
              <w:rPr>
                <w:b w:val="0"/>
                <w:sz w:val="20"/>
              </w:rPr>
              <w:t>art. 98.º, n.º 1</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P-43)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P-43, P-47, P-46</w:t>
            </w:r>
          </w:p>
        </w:tc>
      </w:tr>
    </w:tbl>
    <w:p/>
    <w:p>
      <w:pPr>
        <w:pStyle w:val="Heading2"/>
      </w:pPr>
      <w:r>
        <w:rPr>
          <w:i w:val="0"/>
          <w:color w:val="000000"/>
        </w:rPr>
        <w:t>P-37.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oficial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P-15).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P-15</w:t>
            </w:r>
          </w:p>
        </w:tc>
      </w:tr>
    </w:tbl>
    <w:p/>
    <w:p>
      <w:pPr>
        <w:pStyle w:val="Heading2"/>
      </w:pPr>
      <w:r>
        <w:rPr>
          <w:i w:val="0"/>
          <w:color w:val="000000"/>
        </w:rPr>
        <w:t>P-46.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w:t>
            </w:r>
          </w:p>
          <w:p>
            <w:pPr>
              <w:spacing w:after="60"/>
            </w:pPr>
            <w:r>
              <w:rPr>
                <w:b w:val="0"/>
                <w:sz w:val="20"/>
              </w:rPr>
              <w:t>art. 70.º, n.ºs 8 e 9</w:t>
            </w:r>
          </w:p>
          <w:p>
            <w:pPr>
              <w:spacing w:after="60"/>
            </w:pPr>
            <w:r>
              <w:rPr>
                <w:b w:val="0"/>
                <w:sz w:val="20"/>
              </w:rPr>
              <w:t>Artigo principal: art. 98.º, Destino dos animais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P-45, P-48, P-05</w:t>
            </w:r>
          </w:p>
        </w:tc>
      </w:tr>
    </w:tbl>
    <w:p/>
    <w:p>
      <w:r>
        <w:br w:type="page"/>
      </w:r>
    </w:p>
    <w:p>
      <w:pPr>
        <w:pStyle w:val="Heading1"/>
      </w:pPr>
      <w:r>
        <w:rPr>
          <w:i w:val="0"/>
          <w:color w:val="000000"/>
        </w:rPr>
        <w:t>9. Capítulo XIV. Detenção de animais perigosos ou potencialmente perigosos</w:t>
      </w:r>
    </w:p>
    <w:p>
      <w:pPr>
        <w:pStyle w:val="Heading2"/>
      </w:pPr>
      <w:r>
        <w:rPr>
          <w:i w:val="0"/>
          <w:color w:val="000000"/>
        </w:rPr>
        <w:t>P-49. Duas vias para retirar a classificação de perigoso, sem ligação entre elas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120.º, n.ºs 1, 3 e 5</w:t>
            </w:r>
          </w:p>
          <w:p>
            <w:pPr>
              <w:spacing w:after="60"/>
            </w:pPr>
            <w:r>
              <w:rPr>
                <w:b w:val="0"/>
                <w:sz w:val="20"/>
              </w:rPr>
              <w:t>art. 115.º, n.ºs 1 a 3</w:t>
            </w:r>
          </w:p>
          <w:p>
            <w:pPr>
              <w:spacing w:after="60"/>
            </w:pPr>
            <w:r>
              <w:rPr>
                <w:b w:val="0"/>
                <w:sz w:val="20"/>
              </w:rPr>
              <w:t>art. 121.º, n.ºs 2, 4 e 5</w:t>
            </w:r>
          </w:p>
          <w:p>
            <w:pPr>
              <w:spacing w:after="60"/>
            </w:pPr>
            <w:r>
              <w:rPr>
                <w:b w:val="0"/>
                <w:sz w:val="20"/>
              </w:rPr>
              <w:t>art. 79.º, n.º 7</w:t>
            </w:r>
          </w:p>
          <w:p>
            <w:pPr>
              <w:spacing w:after="60"/>
            </w:pPr>
            <w:r>
              <w:rPr>
                <w:b w:val="0"/>
                <w:sz w:val="20"/>
              </w:rPr>
              <w:t>art. 110.º, n.º 2</w:t>
            </w:r>
          </w:p>
          <w:p>
            <w:pPr>
              <w:spacing w:after="60"/>
            </w:pPr>
            <w:r>
              <w:rPr>
                <w:b w:val="0"/>
                <w:sz w:val="20"/>
              </w:rPr>
              <w:t>art. 126.º, n.º 2</w:t>
            </w:r>
          </w:p>
          <w:p>
            <w:pPr>
              <w:spacing w:after="60"/>
            </w:pPr>
            <w:r>
              <w:rPr>
                <w:b w:val="0"/>
                <w:sz w:val="20"/>
              </w:rPr>
              <w:t>DL 315/2009, art. 3.º, al. b), art. 9.º, art. 14.º e art. 19.º, n.º 2</w:t>
            </w:r>
          </w:p>
          <w:p>
            <w:pPr>
              <w:spacing w:after="60"/>
            </w:pPr>
            <w:r>
              <w:rPr>
                <w:b w:val="0"/>
                <w:sz w:val="20"/>
              </w:rPr>
              <w:t>DL 82/2019, art. 13.º, n.º 1</w:t>
            </w:r>
          </w:p>
          <w:p>
            <w:pPr>
              <w:spacing w:after="60"/>
            </w:pPr>
            <w:r>
              <w:rPr>
                <w:b w:val="0"/>
                <w:sz w:val="20"/>
              </w:rPr>
              <w:t>Artigo principal: art. 120.º, Classificação como animal perigoso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No DL 315/2009, o animal é perigoso quando se verifica um dos factos do art. 3.º, al. b): ter mordido, atacado ou ofendido uma pessoa; ter ferido gravemente ou morto outro animal fora da propriedade do detentor; ter sido declarado agressivo pelo detentor; ou ter sido considerado um risco pela autoridade competente. As juntas de freguesia registam no SIAC os episódios que determinam a classificação (art. 9.º, n.º 1, e art. 14.º, n.º 3). A única via expressa para a retirar é o registo das «decisões definitivas proferidas em processo criminal ou contraordenacional» que fundamentem a eliminação da classificação (art. 9.º, n.º 2).</w:t>
            </w:r>
          </w:p>
          <w:p>
            <w:pPr>
              <w:spacing w:after="60"/>
            </w:pPr>
            <w:r>
              <w:rPr>
                <w:b w:val="0"/>
                <w:sz w:val="20"/>
              </w:rPr>
              <w:t>A lei vigente não dá ao MVM poder para retirar a classificação. Quando se apura que o auto policial que relatou a agressão não tem fundamento, não há via própria fora do processo criminal ou contraordenacional. Entretanto o cão fica sujeito a licença, seguro, açaimo e esterilização (DL 315/2009, art. 5.º, art. 10.º, art. 13.º e art. 19.º, n.º 2).</w:t>
            </w:r>
          </w:p>
          <w:p>
            <w:pPr>
              <w:spacing w:after="60"/>
            </w:pPr>
            <w:r>
              <w:rPr>
                <w:b w:val="0"/>
                <w:sz w:val="20"/>
              </w:rPr>
              <w:t>O RGAC muda o modelo. O registo dos episódios passa para o MVM ou para o médico veterinário ao serviço do município (art. 115.º, n.º 1; art. 120.º, n.º 3; art. 121.º, n.º 4). A junta de freguesia deixa de poder alterar a classificação (art. 79.º, n.º 7). O art. 120.º, n.º 5 permite ao MVM reverter a classificação, «oficiosamente ou a requerimento do interessado», «sempre que seja feita prova em contrário».</w:t>
            </w:r>
          </w:p>
          <w:p>
            <w:pPr>
              <w:spacing w:after="60"/>
            </w:pPr>
            <w:r>
              <w:rPr>
                <w:b w:val="0"/>
                <w:sz w:val="20"/>
              </w:rPr>
              <w:t>O art. 115.º, n.º 2 mantém a via do DL 315/2009: a DGAV regista no SIAC as decisões definitivas que fundamentem a eliminação da classificação, e o n.º 3 manda o tribunal e as autoridades administrativas comunicar-lhe a decisão. Ficam duas vias para o mesmo efeito, com dois decisores, sem regra que as ligue.</w:t>
            </w:r>
          </w:p>
          <w:p>
            <w:pPr>
              <w:spacing w:after="60"/>
            </w:pPr>
            <w:r>
              <w:rPr>
                <w:b w:val="0"/>
                <w:sz w:val="20"/>
              </w:rPr>
              <w:t>O art. 120.º, n.º 5 não diz quem regista a reversão no SIAC, nem que ela é notificada ao titular e à junta de freguesia que emitiu a licença (art. 110.º, n.º 2). Não diz que prova basta para a «prova em contrário». Não trata o caso de haver processo criminal ou contraordenacional pendente sobre os mesmos factos: o MVM pode reverter e o tribunal dar depois os factos como provados, ou o contrário.</w:t>
            </w:r>
          </w:p>
          <w:p>
            <w:pPr>
              <w:spacing w:after="60"/>
            </w:pPr>
            <w:r>
              <w:rPr>
                <w:b w:val="0"/>
                <w:sz w:val="20"/>
              </w:rPr>
              <w:t>O cão classificado como perigoso deve ser esterilizado (art. 126.º, n.º 2). Se a classificação cair depois, a esterilização não se desfaz. O RGAC não suspende este efeito enquanto a classificação é contestada.</w:t>
            </w:r>
          </w:p>
          <w:p>
            <w:pPr>
              <w:spacing w:after="60"/>
            </w:pPr>
            <w:r>
              <w:rPr>
                <w:b w:val="0"/>
                <w:sz w:val="20"/>
              </w:rPr>
              <w:t>No SIAC, só altera o registo quem tiver perfil para isso, atribuído pela DGAV (DL 82/2019, art. 13.º, n.º 1). A competência que o RGAC dá ao MVM só funciona se o perfil a acompanhar.</w:t>
            </w:r>
          </w:p>
        </w:tc>
      </w:tr>
      <w:tr>
        <w:tc>
          <w:tcPr>
            <w:tcW w:w="1984" w:type="dxa"/>
          </w:tcPr>
          <w:p>
            <w:pPr>
              <w:spacing w:after="60"/>
            </w:pPr>
            <w:r/>
            <w:r>
              <w:rPr>
                <w:b/>
                <w:sz w:val="20"/>
              </w:rPr>
              <w:t>Proposta</w:t>
            </w:r>
          </w:p>
        </w:tc>
        <w:tc>
          <w:tcPr>
            <w:tcW w:w="7087" w:type="dxa"/>
          </w:tcPr>
          <w:p>
            <w:pPr>
              <w:spacing w:after="60"/>
            </w:pPr>
            <w:r/>
            <w:r>
              <w:rPr>
                <w:b w:val="0"/>
                <w:sz w:val="20"/>
              </w:rPr>
              <w:t>Ligar as duas vias no art. 120.º. (i) O MVM reverte por decisão fundamentada, regista a reversão no SIAC e notifica o titular e a junta de freguesia. (ii) Dar exemplos de prova em contrário: decisão definitiva de arquivamento ou de absolvição, retificação do auto pela entidade autuante, erro na identificação do animal. (iii) No art. 115.º, n.º 2, a DGAV regista a decisão definitiva e o MVM retira dela as consequências, para não haver duas decisões sobre o mesmo facto. (iv) Com processo pendente, o MVM pode suspender a esterilização do art. 126.º, n.º 2 até à decisão, mantendo as medidas de circulação do art. 119.º. (v) Ajustar os perfis de acesso ao SIAC à nova competência.</w:t>
            </w:r>
          </w:p>
        </w:tc>
      </w:tr>
      <w:tr>
        <w:tc>
          <w:tcPr>
            <w:tcW w:w="1984" w:type="dxa"/>
          </w:tcPr>
          <w:p>
            <w:pPr>
              <w:spacing w:after="60"/>
            </w:pPr>
            <w:r/>
            <w:r>
              <w:rPr>
                <w:b/>
                <w:sz w:val="20"/>
              </w:rPr>
              <w:t>Quem levantou</w:t>
            </w:r>
          </w:p>
        </w:tc>
        <w:tc>
          <w:tcPr>
            <w:tcW w:w="7087" w:type="dxa"/>
          </w:tcPr>
          <w:p>
            <w:pPr>
              <w:spacing w:after="60"/>
            </w:pPr>
            <w:r/>
            <w:r>
              <w:rPr>
                <w:b w:val="0"/>
                <w:sz w:val="20"/>
              </w:rPr>
              <w:t>Análise interna (20.10.2026), a propósito de uma consulta: pode o MVM retirar no SIAC a classificação de perigoso quando o auto da GNR que relatou a agressão não tem fundamento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10. Capítulo XV. Medidas administrativas, fiscalização e contraordenações</w:t>
      </w:r>
    </w:p>
    <w:p>
      <w:pPr>
        <w:pStyle w:val="Heading2"/>
      </w:pPr>
      <w:r>
        <w:rPr>
          <w:i w:val="0"/>
          <w:color w:val="000000"/>
        </w:rPr>
        <w:t>P-52. O dever geral de colaboração de terceiros e a coima por recusa de informações não passam para o RGAC</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138.º, n.ºs 1 e 3</w:t>
            </w:r>
          </w:p>
          <w:p>
            <w:pPr>
              <w:spacing w:after="60"/>
            </w:pPr>
            <w:r>
              <w:rPr>
                <w:b w:val="0"/>
                <w:sz w:val="20"/>
              </w:rPr>
              <w:t>art. 140.º, n.º 2, al. i)</w:t>
            </w:r>
          </w:p>
          <w:p>
            <w:pPr>
              <w:spacing w:after="60"/>
            </w:pPr>
            <w:r>
              <w:rPr>
                <w:b w:val="0"/>
                <w:sz w:val="20"/>
              </w:rPr>
              <w:t>art. 54.º, n.º 1</w:t>
            </w:r>
          </w:p>
          <w:p>
            <w:pPr>
              <w:spacing w:after="60"/>
            </w:pPr>
            <w:r>
              <w:rPr>
                <w:b w:val="0"/>
                <w:sz w:val="20"/>
              </w:rPr>
              <w:t>art. 137.º, n.º 4</w:t>
            </w:r>
          </w:p>
          <w:p>
            <w:pPr>
              <w:spacing w:after="60"/>
            </w:pPr>
            <w:r>
              <w:rPr>
                <w:b w:val="0"/>
                <w:sz w:val="20"/>
              </w:rPr>
              <w:t>art. 108.º, n.º 2, al. c)</w:t>
            </w:r>
          </w:p>
          <w:p>
            <w:pPr>
              <w:spacing w:after="60"/>
            </w:pPr>
            <w:r>
              <w:rPr>
                <w:b w:val="0"/>
                <w:sz w:val="20"/>
              </w:rPr>
              <w:t>art. 109.º, n.ºs 2 e 3</w:t>
            </w:r>
          </w:p>
          <w:p>
            <w:pPr>
              <w:spacing w:after="60"/>
            </w:pPr>
            <w:r>
              <w:rPr>
                <w:b w:val="0"/>
                <w:sz w:val="20"/>
              </w:rPr>
              <w:t>Artigo principal: art. 138.º, Fiscalização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67.º, n.º 3, dispõe: «As autoridades administrativas, policiais e as pessoas singulares e coletivas devem prestar toda a colaboração necessária às inspeções e ações de controlo a efetuar no âmbito do presente diploma». O art. 68.º, n.º 1, al. d), pune como contraordenação económica grave «A negação ou inviabilização de dados ou de informações requeridos pelas autoridades competentes ou seus agentes, em ordem ao cumprimento de funções estabelecidas neste diploma, assim como a prestação de informações inexatas ou falsas», com instrução pela DGAV ou pelos órgãos de polícia criminal (art. 70.º, n.º 1). As duas normas valem para qualquer pessoa, e não só para o titular do alojamento. É com elas que a DGAV pede dados a terceiros: à entidade que gere o livro de origens, sobre as ninhadas e o afixo de um criador sem comunicação prévia; às plataformas em linha, sobre quem publica um anúncio; aos centros de atendimento médico-veterinário, sobre os animais que assistem.</w:t>
            </w:r>
          </w:p>
          <w:p>
            <w:pPr>
              <w:spacing w:after="60"/>
            </w:pPr>
            <w:r>
              <w:rPr>
                <w:b w:val="0"/>
                <w:sz w:val="20"/>
              </w:rPr>
              <w:t>O RGAC não tem norma geral equivalente. O art. 138.º, n.º 1, diz quem fiscaliza. O n.º 3 trata só da «criação de obstáculos ou impedimentos à fiscalização de alojamentos ou de animais», e a resposta é o mandado judicial de acesso e remoção. O art. 54.º, n.º 1, obriga a facultar o acesso ao estabelecimento, mas só «o titular da exploração». O art. 137.º, n.º 4, manda prestar colaboração às «autoridades competentes, os serviços da administração local ou outras entidades que vierem a ser designadas para o efeito», e só na execução das medidas desse artigo. O art. 108.º, n.º 2, al. c), exige às organizações de criadores que gerem os livros genealógicos «Satisfazer os controlos da autoridade competente» quanto ao seu funcionamento e às genealogias. O art. 109.º, n.º 2, dispõe: «A entidade gestora do LOP disponibiliza à DGAV todas as informações solicitadas para efeito de controlo oficial», e o n.º 3 manda-lhe enviar à DGAV, até ao fim do primeiro trimestre, um relatório anual das inscrições por raça. É a única norma do RGAC que obriga um terceiro a responder a pedidos de dados. Vale só para a entidade gestora do LOP e não tem coima no art. 140.º.</w:t>
            </w:r>
          </w:p>
          <w:p>
            <w:pPr>
              <w:spacing w:after="60"/>
            </w:pPr>
            <w:r>
              <w:rPr>
                <w:b w:val="0"/>
                <w:sz w:val="20"/>
              </w:rPr>
              <w:t>Hoje a entidade gestora do LOP é o Clube Português de Canicultura, sem ato de reconhecimento pela DGAV publicado. O regulamento do LOP do Clube diz que o registo foi criado em 1932 «conforme despacho ministerial de 29 de Março de 1939 (Diário do Governo, n.º 91, 3ª Série de 20 de Abril de 1939)» e que a comissão que decide os registos é «assistido por um Delegado da Direcção Geral de Veterinária». O DL 276/2001 define o animal de raça pura pelo registo «no livro de origens português» (art. 2.º, n.º 1, al. bb), e art. 53.º, n.º 3) e o DL 315/2009 fala em «livro de origens oficialmente reconhecido» (arts. 16.º, n.ºs 2 e 4, e 19.º, n.º 3), sem dizer quem o reconhece. O Despacho n.º 15262/2012, que aprova as unidades orgânicas da DGAV, dá ao Gabinete de Recursos Genéticos Animais a competência de «Controlar a atividade delegada às associações de criadores, respeitante à gestão dos livros genealógicos», e o sítio da DGAV remete para o Clube como «entidade gestora dos Livros Genealógicos» das raças caninas autóctones. A orgânica da DGAV, Decreto Regulamentar n.º 31/2012, art. 2.º, n.º 2, al. p), na redação do Decreto Regulamentar n.º 4/2025, manda «Superintender a gestão dos livros genealógicos geridos pelas associações de criadores reconhecidas para todas as espécies animais, designadamente homologação dos secretários técnicos, aprovação de regulamentos e acompanhamento e verificação do seu cumprimento», e as als. jj) e mm) dão-lhe a definição e a aplicação das políticas de criação e comércio de animais de companhia e o cumprimento das regras aplicáveis. O regime zootécnico do DL 59/2022, que executa o Regulamento (UE) 2016/1012, só abrange as espécies bovina, suína, ovina, caprina e equina. O art. 108.º do RGAC cria pela primeira vez um reconhecimento por despacho do diretor-geral para os animais de companhia.</w:t>
            </w:r>
          </w:p>
          <w:p>
            <w:pPr>
              <w:spacing w:after="60"/>
            </w:pPr>
            <w:r>
              <w:rPr>
                <w:b w:val="0"/>
                <w:sz w:val="20"/>
              </w:rPr>
              <w:t>No art. 140.º, n.º 2, a única alínea próxima é a segunda al. i) (ver L-11): «A oposição ou a criação de obstáculos à execução de medida prevista no presente diploma, que tenha sido regularmente comunicada e emanada de autoridade ou funcionário competente». Um pedido de informações não é uma medida. A recusa de dados, o silêncio e a informação falsa ficam sem coima. A P-42 já nota que a al. d) do DL 276/2001 só abrange dados pedidos para funções desse decreto-lei. Com a revogação do DL 276/2001, a al. d) desaparece sem substituto.</w:t>
            </w:r>
          </w:p>
          <w:p>
            <w:pPr>
              <w:spacing w:after="60"/>
            </w:pPr>
            <w:r>
              <w:rPr>
                <w:b w:val="0"/>
                <w:sz w:val="20"/>
              </w:rPr>
              <w:t>As regras gerais não suprem a falta. O CPA, art. 60.º, n.º 1, manda cooperar «os órgãos da Administração Pública e os interessados» no procedimento, e o terceiro a quem se pedem dados não é interessado. O auxílio administrativo (CPA, art. 66.º, n.º 1) só se pede a «quaisquer outros órgãos da Administração Pública». A Lei 36/2021, anexo (Lei-Quadro do Estatuto de Utilidade Pública), art. 12.º, n.º 1, al. h), obriga as pessoas coletivas com estatuto de utilidade pública a «Prestar todas as informações e disponibilizar todos os documentos solicitados por quaisquer entidades públicas com competências para o efeito», mas só vale para essas entidades e enquanto o estatuto durar. O RGPD, art. 6.º, n.º 1, al. c), legitima o tratamento «necessário para o cumprimento de uma obrigação jurídica a que o responsável pelo tratamento esteja sujeito»: é a norma do DL 276/2001 que hoje dá ao terceiro a obrigação jurídica para transmitir dados pessoais dos seus associados ou clientes. Sem norma no RGAC, o terceiro tem de encontrar outro fundamento ou recusar.</w:t>
            </w:r>
          </w:p>
          <w:p>
            <w:pPr>
              <w:spacing w:after="60"/>
            </w:pPr>
            <w:r>
              <w:rPr>
                <w:b w:val="0"/>
                <w:sz w:val="20"/>
              </w:rPr>
              <w:t>O Regulamento (UE) 2026/1818 remete os controlos oficiais para o Regulamento (UE) 2017/625 (considerandos 31 e 32) e manda os Estados-Membros fixar sanções efetivas, proporcionadas e dissuasivas (art. 32.º, ver P-42). Não tem norma geral que obrigue terceiros a responder aos pedidos de dados das autoridades nacionais. A norma nacional continua a ser necessária.</w:t>
            </w:r>
          </w:p>
        </w:tc>
      </w:tr>
      <w:tr>
        <w:tc>
          <w:tcPr>
            <w:tcW w:w="1984" w:type="dxa"/>
          </w:tcPr>
          <w:p>
            <w:pPr>
              <w:spacing w:after="60"/>
            </w:pPr>
            <w:r/>
            <w:r>
              <w:rPr>
                <w:b/>
                <w:sz w:val="20"/>
              </w:rPr>
              <w:t>Proposta</w:t>
            </w:r>
          </w:p>
        </w:tc>
        <w:tc>
          <w:tcPr>
            <w:tcW w:w="7087" w:type="dxa"/>
          </w:tcPr>
          <w:p>
            <w:pPr>
              <w:spacing w:after="60"/>
            </w:pPr>
            <w:r/>
            <w:r>
              <w:rPr>
                <w:b w:val="0"/>
                <w:sz w:val="20"/>
              </w:rPr>
              <w:t>Repor no art. 138.º o dever do DL 276/2001, art. 67.º, n.º 3, alargado aos pedidos de dados: as autoridades administrativas e policiais e as pessoas singulares e coletivas prestam toda a colaboração necessária às inspeções, às ações de controlo e aos pedidos de informação e de documentos das autoridades referidas no n.º 1, no prazo que estas fixarem. Nomear as entidades que mais vezes detêm os dados: organizações que gerem livros genealógicos, plataformas em linha, centros de atendimento médico-veterinário e transportadores. Aditar ao art. 140.º, n.º 2, a contraordenação do DL 276/2001, art. 68.º, n.º 1, al. d): negação ou inviabilização de dados ou de informações requeridos pelas autoridades competentes e prestação de informações inexatas ou falsas, abrangendo a recusa e o atraso da entidade gestora do LOP. No art. 109.º, n.º 2, dizer que as informações abrangem os registos de ninhadas, reprodutores e afixos de um criador identificado, com prazo de resposta. No art. 108.º, prever a decisão da DGAV sobre a entidade que hoje gere o LOP, para que o reconhecimento deixe de assentar só no despacho de 1939. Com estas normas, a transmissão de dados pessoais fica coberta pelo RGPD, art. 6.º, n.º 1, al. c), do lado do terceiro, e al. e), do lado da DGAV.</w:t>
            </w:r>
          </w:p>
        </w:tc>
      </w:tr>
      <w:tr>
        <w:tc>
          <w:tcPr>
            <w:tcW w:w="1984" w:type="dxa"/>
          </w:tcPr>
          <w:p>
            <w:pPr>
              <w:spacing w:after="60"/>
            </w:pPr>
            <w:r/>
            <w:r>
              <w:rPr>
                <w:b/>
                <w:sz w:val="20"/>
              </w:rPr>
              <w:t>Quem levantou</w:t>
            </w:r>
          </w:p>
        </w:tc>
        <w:tc>
          <w:tcPr>
            <w:tcW w:w="7087" w:type="dxa"/>
          </w:tcPr>
          <w:p>
            <w:pPr>
              <w:spacing w:after="60"/>
            </w:pPr>
            <w:r/>
            <w:r>
              <w:rPr>
                <w:b w:val="0"/>
                <w:sz w:val="20"/>
              </w:rPr>
              <w:t>Análise interna (22.10.2026), a propósito de uma denúncia de criação comercial sem comunicação prévia e do pedido de esclarecimento à entidade que gere o livro de origens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P-42</w:t>
            </w:r>
          </w:p>
        </w:tc>
      </w:tr>
    </w:tbl>
    <w:p/>
    <w:p>
      <w:pPr>
        <w:pStyle w:val="Heading2"/>
      </w:pPr>
      <w:r>
        <w:rPr>
          <w:i w:val="0"/>
          <w:color w:val="000000"/>
        </w:rPr>
        <w:t>P-47.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w:t>
            </w:r>
          </w:p>
          <w:p>
            <w:pPr>
              <w:spacing w:after="60"/>
            </w:pPr>
            <w:r>
              <w:rPr>
                <w:b w:val="0"/>
                <w:sz w:val="20"/>
              </w:rPr>
              <w:t>art. 144.º</w:t>
            </w:r>
          </w:p>
          <w:p>
            <w:pPr>
              <w:spacing w:after="60"/>
            </w:pPr>
            <w:r>
              <w:rPr>
                <w:b w:val="0"/>
                <w:sz w:val="20"/>
              </w:rPr>
              <w:t>art. 138.º, n.º 3</w:t>
            </w:r>
          </w:p>
          <w:p>
            <w:pPr>
              <w:spacing w:after="60"/>
            </w:pPr>
            <w:r>
              <w:rPr>
                <w:b w:val="0"/>
                <w:sz w:val="20"/>
              </w:rPr>
              <w:t>Artigo principal: art. 139.º, Medidas preventivas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(art. 39.º) e do DL 265/2007. Mas no DL 315/2009 os n.ºs 2 a 6 desse artigo (auto, depositário, termo de depósito) estão revogados, e o n.º 1, na redação do DL 9/2021, manda fazer a apreensão «nos termos do RJCE». O art. 139.º volta a regular essas matérias e deixa cair a remissão para o RJCE.</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 A fórmula vem do DL 315/2009, art. 39.º, n.º 8, escrito para animais perigosos, cujas infrações são sobretudo de licenciamento e segurança, e não de condições do local.</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P-45, P-46, P-42</w:t>
            </w:r>
          </w:p>
        </w:tc>
      </w:tr>
    </w:tbl>
    <w:p/>
    <w:p>
      <w:pPr>
        <w:pStyle w:val="Heading2"/>
      </w:pPr>
      <w:r>
        <w:rPr>
          <w:i w:val="0"/>
          <w:color w:val="000000"/>
        </w:rPr>
        <w:t>P-06.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P-06</w:t>
            </w:r>
          </w:p>
        </w:tc>
      </w:tr>
    </w:tbl>
    <w:p/>
    <w:p>
      <w:pPr>
        <w:pStyle w:val="Heading2"/>
      </w:pPr>
      <w:r>
        <w:rPr>
          <w:i w:val="0"/>
          <w:color w:val="000000"/>
        </w:rPr>
        <w:t>P-42.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w:t>
            </w:r>
          </w:p>
          <w:p>
            <w:pPr>
              <w:spacing w:after="60"/>
            </w:pPr>
            <w:r>
              <w:rPr>
                <w:b w:val="0"/>
                <w:sz w:val="20"/>
              </w:rPr>
              <w:t>art. 80.º, n.ºs 4 e 5</w:t>
            </w:r>
          </w:p>
          <w:p>
            <w:pPr>
              <w:spacing w:after="60"/>
            </w:pPr>
            <w:r>
              <w:rPr>
                <w:b w:val="0"/>
                <w:sz w:val="20"/>
              </w:rPr>
              <w:t>art. 5.º, n.º 1</w:t>
            </w:r>
          </w:p>
          <w:p>
            <w:pPr>
              <w:spacing w:after="60"/>
            </w:pPr>
            <w:r>
              <w:rPr>
                <w:b w:val="0"/>
                <w:sz w:val="20"/>
              </w:rPr>
              <w:t>art. 81.º, n.º 6</w:t>
            </w:r>
          </w:p>
          <w:p>
            <w:pPr>
              <w:spacing w:after="60"/>
            </w:pPr>
            <w:r>
              <w:rPr>
                <w:b w:val="0"/>
                <w:sz w:val="20"/>
              </w:rPr>
              <w:t>art. 89.º, n.ºs 3, 4 e 8</w:t>
            </w:r>
          </w:p>
          <w:p>
            <w:pPr>
              <w:spacing w:after="60"/>
            </w:pPr>
            <w:r>
              <w:rPr>
                <w:b w:val="0"/>
                <w:sz w:val="20"/>
              </w:rPr>
              <w:t>art. 91.º, n.ºs 1 e 2</w:t>
            </w:r>
          </w:p>
          <w:p>
            <w:pPr>
              <w:spacing w:after="60"/>
            </w:pPr>
            <w:r>
              <w:rPr>
                <w:b w:val="0"/>
                <w:sz w:val="20"/>
              </w:rPr>
              <w:t>art. 94.º, n.º 1</w:t>
            </w:r>
          </w:p>
          <w:p>
            <w:pPr>
              <w:spacing w:after="60"/>
            </w:pPr>
            <w:r>
              <w:rPr>
                <w:b w:val="0"/>
                <w:sz w:val="20"/>
              </w:rPr>
              <w:t>art. 98.º, n.ºs 8, 13 e 14</w:t>
            </w:r>
          </w:p>
          <w:p>
            <w:pPr>
              <w:spacing w:after="60"/>
            </w:pPr>
            <w:r>
              <w:rPr>
                <w:b w:val="0"/>
                <w:sz w:val="20"/>
              </w:rPr>
              <w:t>art. 101.º, n.ºs 1 e 6</w:t>
            </w:r>
          </w:p>
          <w:p>
            <w:pPr>
              <w:spacing w:after="60"/>
            </w:pPr>
            <w:r>
              <w:rPr>
                <w:b w:val="0"/>
                <w:sz w:val="20"/>
              </w:rPr>
              <w:t>art. 144.º</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P-35);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P-06). Ponderar uma norma geral como a da Lei 92/95, art. 12.º, n.º 1, ou pelo menos coima expressa, com a gravidade que hoje tem no DL 276/2001 (art. 68.º, n.º 2, al. d)), para o art. 8.º, n.º 1 (morte sem motivo legítimo). Ver P-43.</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 P-06, P-11, P-39, P-43</w:t>
            </w:r>
          </w:p>
        </w:tc>
      </w:tr>
    </w:tbl>
    <w:p/>
    <w:p>
      <w:pPr>
        <w:pStyle w:val="Heading2"/>
      </w:pPr>
      <w:r>
        <w:rPr>
          <w:i w:val="0"/>
          <w:color w:val="000000"/>
        </w:rPr>
        <w:t>P-51. As sanções acessórias perdem a interdição do exercício da atividade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141.º, n.ºs 1 e 2</w:t>
            </w:r>
          </w:p>
          <w:p>
            <w:pPr>
              <w:spacing w:after="60"/>
            </w:pPr>
            <w:r>
              <w:rPr>
                <w:b w:val="0"/>
                <w:sz w:val="20"/>
              </w:rPr>
              <w:t>art. 50.º</w:t>
            </w:r>
          </w:p>
          <w:p>
            <w:pPr>
              <w:spacing w:after="60"/>
            </w:pPr>
            <w:r>
              <w:rPr>
                <w:b w:val="0"/>
                <w:sz w:val="20"/>
              </w:rPr>
              <w:t>Artigo principal: art. 141.º, Sanções acessórias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69.º, al. b) prevê a «Interdição do exercício de uma profissão ou atividade reguladas no presente diploma, cujo exercício dependa de título público ou de autorização ou homologação de autoridade pública». O DL 82/2019, art. 22.º, al. b) prevê o mesmo. O RJCE, art. 28.º, n.º 1, al. c) prevê a interdição do exercício de atividades cujo exercício dependa de permissão administrativa.</w:t>
            </w:r>
          </w:p>
          <w:p>
            <w:pPr>
              <w:spacing w:after="60"/>
            </w:pPr>
            <w:r>
              <w:rPr>
                <w:b w:val="0"/>
                <w:sz w:val="20"/>
              </w:rPr>
              <w:t>O art. 141.º, n.º 1 do RGAC prevê a perda de objetos e animais, a privação de participar em feiras, mercados, exposições ou concursos, o encerramento de estabelecimento sujeito a autorização ou licença, a suspensão de autorizações, licenças e alvarás, e a privação de titularidade e detenção só de animais perigosos ou potencialmente perigosos. Não prevê a interdição do exercício da atividade.</w:t>
            </w:r>
          </w:p>
          <w:p>
            <w:pPr>
              <w:spacing w:after="60"/>
            </w:pPr>
            <w:r>
              <w:rPr>
                <w:b w:val="0"/>
                <w:sz w:val="20"/>
              </w:rPr>
              <w:t>Sem interdição, o titular de um estabelecimento encerrado ao abrigo do art. 50.º por maus-tratos ou riscos sanitários pode apresentar nova mera comunicação prévia logo a seguir. O encerramento como sanção acessória (al. c)) pressupõe estabelecimento «sujeito a autorização ou licença», e a maioria dos estabelecimentos fica sujeita a mera comunicação prévia.</w:t>
            </w:r>
          </w:p>
          <w:p>
            <w:pPr>
              <w:spacing w:after="60"/>
            </w:pPr>
            <w:r>
              <w:rPr>
                <w:b w:val="0"/>
                <w:sz w:val="20"/>
              </w:rPr>
              <w:t>A privação de titularidade e detenção (al. e)) é limitada aos animais perigosos ou potencialmente perigosos. O Código Penal, art. 388.º-A, n.º 1, al. a) permite privar da detenção de animais de companhia até seis anos, mas só com condenação penal, que pode demorar anos. No caso do alojamento PT1225FL, em Amarante, a interdição administrativa é o único instrumento que impede a titular, arguida por maus-tratos, de voltar a registar um alojamento enquanto o processo-crime corre.</w:t>
            </w:r>
          </w:p>
          <w:p>
            <w:pPr>
              <w:spacing w:after="60"/>
            </w:pPr>
            <w:r>
              <w:rPr>
                <w:b w:val="0"/>
                <w:sz w:val="20"/>
              </w:rPr>
              <w:t>A fórmula «cujo exercício dependa de título público ou de autorização ou homologação de autoridade pública» vem do regime geral das contraordenações de 1982 (DL 433/82, art. 21.º, n.º 1, al. b)) e pressupõe um regime de autorização. O DL 260/2012 substituiu a autorização dos alojamentos pela mera comunicação prévia e não reescreveu o art. 69.º do DL 276/2001. A mera comunicação prévia não é autorização nem permissão administrativa: o próprio DL 276/2001, art. 3.º, n.º 1 distingue a al. a) (mera comunicação prévia) da al. b) (permissão administrativa, só para animais perigosos). A Administração não emite ato; atribui um número «pessoal e intransmissível» (art. 3.º, n.º 11) e publicita-o (n.º 12).</w:t>
            </w:r>
          </w:p>
          <w:p>
            <w:pPr>
              <w:spacing w:after="60"/>
            </w:pPr>
            <w:r>
              <w:rPr>
                <w:b w:val="0"/>
                <w:sz w:val="20"/>
              </w:rPr>
              <w:t>Daí resulta que, na leitura literal, nem a interdição (al. b)), nem o encerramento de estabelecimento «sujeito a autorização ou licença» (al. e)), nem a suspensão de «autorizações, licenças e alvarás» (al. f)) do art. 69.º do DL 276/2001 se aplicam hoje aos alojamentos com mera comunicação prévia. Só uma leitura funcional, que trate o número atribuído e publicitado pela DGAV como título público em sentido material, permite aplicar a interdição, e essa leitura é interpretação extensiva de norma sancionatória. O RJCE, art. 28.º, n.º 1, al. c) («Interdição do exercício de profissões ou de atividades cujo exercício dependa de permissão administrativa») tem o mesmo limite, porque no DL 92/2010 a mera comunicação prévia é a alternativa à permissão.</w:t>
            </w:r>
          </w:p>
          <w:p>
            <w:pPr>
              <w:spacing w:after="60"/>
            </w:pPr>
            <w:r>
              <w:rPr>
                <w:b w:val="0"/>
                <w:sz w:val="20"/>
              </w:rPr>
              <w:t>O RGAC mantém a mesma arquitetura (mera comunicação prévia para a generalidade dos estabelecimentos, permissão administrativa para os perigosos e para os criadores de maior dimensão) e herda o problema: as sanções das als. c) e d) do art. 141.º, n.º 1 continuam a pressupor autorização, licença ou alvará.</w:t>
            </w:r>
          </w:p>
        </w:tc>
      </w:tr>
      <w:tr>
        <w:tc>
          <w:tcPr>
            <w:tcW w:w="1984" w:type="dxa"/>
          </w:tcPr>
          <w:p>
            <w:pPr>
              <w:spacing w:after="60"/>
            </w:pPr>
            <w:r/>
            <w:r>
              <w:rPr>
                <w:b/>
                <w:sz w:val="20"/>
              </w:rPr>
              <w:t>Proposta</w:t>
            </w:r>
          </w:p>
        </w:tc>
        <w:tc>
          <w:tcPr>
            <w:tcW w:w="7087" w:type="dxa"/>
          </w:tcPr>
          <w:p>
            <w:pPr>
              <w:spacing w:after="60"/>
            </w:pPr>
            <w:r/>
            <w:r>
              <w:rPr>
                <w:b w:val="0"/>
                <w:sz w:val="20"/>
              </w:rPr>
              <w:t>Aditar ao art. 141.º, n.º 1 a interdição do exercício da atividade de exploração de estabelecimentos e de criação de animais de companhia, definida sem referência a título, autorização ou licença: proibição de exercer a atividade e de apresentar mera comunicação prévia ou pedido de permissão administrativa durante o prazo fixado, com cancelamento do número de identificação, registo no SIAC e nos ficheiros da DGAV, e ineficácia de qualquer comunicação apresentada nesse período. Reescrever as als. c) e d) para abranger os estabelecimentos sujeitos a mera comunicação prévia. Ponderar alargar a privação de titularidade e detenção (al. e)) aos animais de companhia em geral, nas contraordenações muito graves por maus-tratos ou por falta de condições de alojamento, com duração máxima e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P-50, P-47</w:t>
            </w:r>
          </w:p>
        </w:tc>
      </w:tr>
    </w:tbl>
    <w:p/>
    <w:p>
      <w:r>
        <w:br w:type="page"/>
      </w:r>
    </w:p>
    <w:p>
      <w:pPr>
        <w:pStyle w:val="Heading1"/>
      </w:pPr>
      <w:r>
        <w:rPr>
          <w:i w:val="0"/>
          <w:color w:val="000000"/>
        </w:rPr>
        <w:t>11. Capítulo XVI. Disposições complementares, finais e transitórias</w:t>
      </w:r>
    </w:p>
    <w:p>
      <w:pPr>
        <w:pStyle w:val="Heading2"/>
      </w:pPr>
      <w:r>
        <w:rPr>
          <w:i w:val="0"/>
          <w:color w:val="000000"/>
        </w:rPr>
        <w:t>P-07.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P-43.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w:t>
            </w:r>
          </w:p>
          <w:p>
            <w:pPr>
              <w:spacing w:after="60"/>
            </w:pPr>
            <w:r>
              <w:rPr>
                <w:b w:val="0"/>
                <w:sz w:val="20"/>
              </w:rPr>
              <w:t>art. 2.º, n.ºs 1, 2 e 9</w:t>
            </w:r>
          </w:p>
          <w:p>
            <w:pPr>
              <w:spacing w:after="60"/>
            </w:pPr>
            <w:r>
              <w:rPr>
                <w:b w:val="0"/>
                <w:sz w:val="20"/>
              </w:rPr>
              <w:t>art. 140.º</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 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P-42).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P-42, P-06</w:t>
            </w:r>
          </w:p>
        </w:tc>
      </w:tr>
    </w:tbl>
    <w:p/>
    <w:p>
      <w:pPr>
        <w:pStyle w:val="Heading2"/>
      </w:pPr>
      <w:r>
        <w:rPr>
          <w:i w:val="0"/>
          <w:color w:val="000000"/>
        </w:rPr>
        <w:t>P-44.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w:t>
            </w:r>
          </w:p>
          <w:p>
            <w:pPr>
              <w:spacing w:after="60"/>
            </w:pPr>
            <w:r>
              <w:rPr>
                <w:b w:val="0"/>
                <w:sz w:val="20"/>
              </w:rPr>
              <w:t>art. 149.º, n.º 1, al. f)</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P-43</w:t>
            </w:r>
          </w:p>
        </w:tc>
      </w:tr>
    </w:tbl>
    <w:p/>
    <w:p>
      <w:r>
        <w:br w:type="page"/>
      </w:r>
    </w:p>
    <w:p>
      <w:pPr>
        <w:pStyle w:val="Heading1"/>
      </w:pPr>
      <w:r>
        <w:rPr>
          <w:i w:val="0"/>
          <w:color w:val="000000"/>
        </w:rPr>
        <w:t>12.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(P-07).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84"/>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P-41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P-36</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P-38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P-13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P-40</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P-12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P-48</w:t>
            </w:r>
          </w:p>
        </w:tc>
        <w:tc>
          <w:tcPr>
            <w:tcW w:w="4309" w:type="dxa"/>
          </w:tcPr>
          <w:p>
            <w:pPr>
              <w:spacing w:after="60"/>
            </w:pPr>
            <w:r/>
            <w:r>
              <w:rPr>
                <w:b w:val="0"/>
                <w:sz w:val="20"/>
              </w:rPr>
              <w:t>Nada sobre animais de companhia em acidente grave ou catástrofe</w:t>
            </w:r>
          </w:p>
        </w:tc>
        <w:tc>
          <w:tcPr>
            <w:tcW w:w="3628" w:type="dxa"/>
          </w:tcPr>
          <w:p>
            <w:pPr>
              <w:spacing w:after="60"/>
            </w:pPr>
            <w:r/>
            <w:r>
              <w:rPr>
                <w:b w:val="0"/>
                <w:sz w:val="20"/>
              </w:rPr>
              <w:t>art. 25.º, Sistemas de proteção</w:t>
            </w:r>
          </w:p>
        </w:tc>
        <w:tc>
          <w:tcPr>
            <w:tcW w:w="2381" w:type="dxa"/>
          </w:tcPr>
          <w:p>
            <w:pPr>
              <w:spacing w:after="60"/>
            </w:pPr>
            <w:r/>
            <w:r>
              <w:rPr>
                <w:b w:val="0"/>
                <w:sz w:val="20"/>
              </w:rPr>
              <w:t>Bem-estar e deveres de detenção; Estabelecimentos e operadores;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P-50</w:t>
            </w:r>
          </w:p>
        </w:tc>
        <w:tc>
          <w:tcPr>
            <w:tcW w:w="4309" w:type="dxa"/>
          </w:tcPr>
          <w:p>
            <w:pPr>
              <w:spacing w:after="60"/>
            </w:pPr>
            <w:r/>
            <w:r>
              <w:rPr>
                <w:b w:val="0"/>
                <w:sz w:val="20"/>
              </w:rPr>
              <w:t>O encerramento de estabelecimentos fica sem medida cautelar, sem regra para os animais e sem efeito no registo</w:t>
            </w:r>
          </w:p>
        </w:tc>
        <w:tc>
          <w:tcPr>
            <w:tcW w:w="3628" w:type="dxa"/>
          </w:tcPr>
          <w:p>
            <w:pPr>
              <w:spacing w:after="60"/>
            </w:pPr>
            <w:r/>
            <w:r>
              <w:rPr>
                <w:b w:val="0"/>
                <w:sz w:val="20"/>
              </w:rPr>
              <w:t>art. 50.º, Suspensão de atividade e encerramento dos estabelecimentos</w:t>
            </w:r>
          </w:p>
        </w:tc>
        <w:tc>
          <w:tcPr>
            <w:tcW w:w="2381" w:type="dxa"/>
          </w:tcPr>
          <w:p>
            <w:pPr>
              <w:spacing w:after="60"/>
            </w:pPr>
            <w:r/>
            <w:r>
              <w:rPr>
                <w:b w:val="0"/>
                <w:sz w:val="20"/>
              </w:rPr>
              <w:t>Estabelecimentos e operadores; Bem-estar e deveres de detenção; Fiscalização e contraordenações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P-30</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P-02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P-21</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P-35</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P-19</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P-20</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P-23</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P-24</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P-25</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P-26</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P-27</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P-29</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P-31</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P-32</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P-33</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P-34</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P-28</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P-22</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P-45</w:t>
            </w:r>
          </w:p>
        </w:tc>
        <w:tc>
          <w:tcPr>
            <w:tcW w:w="4309" w:type="dxa"/>
          </w:tcPr>
          <w:p>
            <w:pPr>
              <w:spacing w:after="60"/>
            </w:pPr>
            <w:r/>
            <w:r>
              <w:rPr>
                <w:b w:val="0"/>
                <w:sz w:val="20"/>
              </w:rPr>
              <w:t>A recolha por razões de bem-estar passa da DGAV para as câmaras e o destino para o médico veterinário municipal</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P-37</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 oficial</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P-46</w:t>
            </w:r>
          </w:p>
        </w:tc>
        <w:tc>
          <w:tcPr>
            <w:tcW w:w="4309" w:type="dxa"/>
          </w:tcPr>
          <w:p>
            <w:pPr>
              <w:spacing w:after="60"/>
            </w:pPr>
            <w:r/>
            <w:r>
              <w:rPr>
                <w:b w:val="0"/>
                <w:sz w:val="20"/>
              </w:rPr>
              <w:t>A presunção de abandono aos 15 dias não ressalva animais apreendidos nem animais socorridos em emergência</w:t>
            </w:r>
          </w:p>
        </w:tc>
        <w:tc>
          <w:tcPr>
            <w:tcW w:w="3628" w:type="dxa"/>
          </w:tcPr>
          <w:p>
            <w:pPr>
              <w:spacing w:after="60"/>
            </w:pPr>
            <w:r/>
            <w:r>
              <w:rPr>
                <w:b w:val="0"/>
                <w:sz w:val="20"/>
              </w:rPr>
              <w:t>art. 98.º, Destino dos animais</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XIV. Detenção de animais perigosos ou potencialmente perigosos</w:t>
            </w:r>
          </w:p>
        </w:tc>
      </w:tr>
      <w:tr>
        <w:tc>
          <w:tcPr>
            <w:tcW w:w="907" w:type="dxa"/>
          </w:tcPr>
          <w:p>
            <w:pPr>
              <w:spacing w:after="60"/>
            </w:pPr>
            <w:r/>
            <w:r>
              <w:rPr>
                <w:b w:val="0"/>
                <w:sz w:val="20"/>
              </w:rPr>
              <w:t>P-49</w:t>
            </w:r>
          </w:p>
        </w:tc>
        <w:tc>
          <w:tcPr>
            <w:tcW w:w="4309" w:type="dxa"/>
          </w:tcPr>
          <w:p>
            <w:pPr>
              <w:spacing w:after="60"/>
            </w:pPr>
            <w:r/>
            <w:r>
              <w:rPr>
                <w:b w:val="0"/>
                <w:sz w:val="20"/>
              </w:rPr>
              <w:t>Duas vias para retirar a classificação de perigoso, sem ligação entre elas</w:t>
            </w:r>
          </w:p>
        </w:tc>
        <w:tc>
          <w:tcPr>
            <w:tcW w:w="3628" w:type="dxa"/>
          </w:tcPr>
          <w:p>
            <w:pPr>
              <w:spacing w:after="60"/>
            </w:pPr>
            <w:r/>
            <w:r>
              <w:rPr>
                <w:b w:val="0"/>
                <w:sz w:val="20"/>
              </w:rPr>
              <w:t>art. 120.º, Classificação como animal perigoso</w:t>
            </w:r>
          </w:p>
        </w:tc>
        <w:tc>
          <w:tcPr>
            <w:tcW w:w="2381" w:type="dxa"/>
          </w:tcPr>
          <w:p>
            <w:pPr>
              <w:spacing w:after="60"/>
            </w:pPr>
            <w:r/>
            <w:r>
              <w:rPr>
                <w:b w:val="0"/>
                <w:sz w:val="20"/>
              </w:rPr>
              <w:t>Animais perigosos;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P-52</w:t>
            </w:r>
          </w:p>
        </w:tc>
        <w:tc>
          <w:tcPr>
            <w:tcW w:w="4309" w:type="dxa"/>
          </w:tcPr>
          <w:p>
            <w:pPr>
              <w:spacing w:after="60"/>
            </w:pPr>
            <w:r/>
            <w:r>
              <w:rPr>
                <w:b w:val="0"/>
                <w:sz w:val="20"/>
              </w:rPr>
              <w:t>O dever geral de colaboração de terceiros e a coima por recusa de informações não passam para o RGAC</w:t>
            </w:r>
          </w:p>
        </w:tc>
        <w:tc>
          <w:tcPr>
            <w:tcW w:w="3628" w:type="dxa"/>
          </w:tcPr>
          <w:p>
            <w:pPr>
              <w:spacing w:after="60"/>
            </w:pPr>
            <w:r/>
            <w:r>
              <w:rPr>
                <w:b w:val="0"/>
                <w:sz w:val="20"/>
              </w:rPr>
              <w:t>art. 138.º, Fiscalização</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P-47</w:t>
            </w:r>
          </w:p>
        </w:tc>
        <w:tc>
          <w:tcPr>
            <w:tcW w:w="4309" w:type="dxa"/>
          </w:tcPr>
          <w:p>
            <w:pPr>
              <w:spacing w:after="60"/>
            </w:pPr>
            <w:r/>
            <w:r>
              <w:rPr>
                <w:b w:val="0"/>
                <w:sz w:val="20"/>
              </w:rPr>
              <w:t>A apreensão provisória serve só as contraordenações e admite devolver os animais ao local de origem</w:t>
            </w:r>
          </w:p>
        </w:tc>
        <w:tc>
          <w:tcPr>
            <w:tcW w:w="3628" w:type="dxa"/>
          </w:tcPr>
          <w:p>
            <w:pPr>
              <w:spacing w:after="60"/>
            </w:pPr>
            <w:r/>
            <w:r>
              <w:rPr>
                <w:b w:val="0"/>
                <w:sz w:val="20"/>
              </w:rPr>
              <w:t>art. 139.º, Medidas preventivas</w:t>
            </w:r>
          </w:p>
        </w:tc>
        <w:tc>
          <w:tcPr>
            <w:tcW w:w="2381" w:type="dxa"/>
          </w:tcPr>
          <w:p>
            <w:pPr>
              <w:spacing w:after="60"/>
            </w:pPr>
            <w:r/>
            <w:r>
              <w:rPr>
                <w:b w:val="0"/>
                <w:sz w:val="20"/>
              </w:rPr>
              <w:t>Fiscalização e contraordenações;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P-42</w:t>
            </w:r>
          </w:p>
        </w:tc>
        <w:tc>
          <w:tcPr>
            <w:tcW w:w="4309" w:type="dxa"/>
          </w:tcPr>
          <w:p>
            <w:pPr>
              <w:spacing w:after="60"/>
            </w:pPr>
            <w:r/>
            <w:r>
              <w:rPr>
                <w:b w:val="0"/>
                <w:sz w:val="20"/>
              </w:rPr>
              <w:t>Os deveres dos CRO e o relatório anual ficam sem coima</w:t>
            </w:r>
          </w:p>
        </w:tc>
        <w:tc>
          <w:tcPr>
            <w:tcW w:w="3628" w:type="dxa"/>
          </w:tcPr>
          <w:p>
            <w:pPr>
              <w:spacing w:after="60"/>
            </w:pPr>
            <w:r/>
            <w:r>
              <w:rPr>
                <w:b w:val="0"/>
                <w:sz w:val="20"/>
              </w:rPr>
              <w:t>art. 140.º, Contraordenações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P-51</w:t>
            </w:r>
          </w:p>
        </w:tc>
        <w:tc>
          <w:tcPr>
            <w:tcW w:w="4309" w:type="dxa"/>
          </w:tcPr>
          <w:p>
            <w:pPr>
              <w:spacing w:after="60"/>
            </w:pPr>
            <w:r/>
            <w:r>
              <w:rPr>
                <w:b w:val="0"/>
                <w:sz w:val="20"/>
              </w:rPr>
              <w:t>As sanções acessórias perdem a interdição do exercício da atividade</w:t>
            </w:r>
          </w:p>
        </w:tc>
        <w:tc>
          <w:tcPr>
            <w:tcW w:w="3628" w:type="dxa"/>
          </w:tcPr>
          <w:p>
            <w:pPr>
              <w:spacing w:after="60"/>
            </w:pPr>
            <w:r/>
            <w:r>
              <w:rPr>
                <w:b w:val="0"/>
                <w:sz w:val="20"/>
              </w:rPr>
              <w:t>art. 141.º, Sanções acessórias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P-07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P-43</w:t>
            </w:r>
          </w:p>
        </w:tc>
        <w:tc>
          <w:tcPr>
            <w:tcW w:w="4309" w:type="dxa"/>
          </w:tcPr>
          <w:p>
            <w:pPr>
              <w:spacing w:after="60"/>
            </w:pPr>
            <w:r/>
            <w:r>
              <w:rPr>
                <w:b w:val="0"/>
                <w:sz w:val="20"/>
              </w:rPr>
              <w:t>A revogação total da Lei 92/95 apaga normas que não tratam de animais de companhia</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 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P-44</w:t>
            </w:r>
          </w:p>
        </w:tc>
        <w:tc>
          <w:tcPr>
            <w:tcW w:w="4309" w:type="dxa"/>
          </w:tcPr>
          <w:p>
            <w:pPr>
              <w:spacing w:after="60"/>
            </w:pPr>
            <w:r/>
            <w:r>
              <w:rPr>
                <w:b w:val="0"/>
                <w:sz w:val="20"/>
              </w:rPr>
              <w:t>O DL 74/2007 é ressalvado e revogado ao mesmo tempo</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52 fichas, das quais 48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P-12.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P-05.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P-25.</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P-11.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P-40.</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928" w:type="dxa"/>
          </w:tcPr>
          <w:p>
            <w:pPr>
              <w:spacing w:after="60"/>
            </w:pPr>
            <w:r/>
            <w:r>
              <w:rPr>
                <w:b w:val="0"/>
                <w:sz w:val="20"/>
              </w:rPr>
              <w:t>art. 140.º (cap. XV)</w:t>
            </w:r>
          </w:p>
        </w:tc>
        <w:tc>
          <w:tcPr>
            <w:tcW w:w="6009"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P-42.</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928" w:type="dxa"/>
          </w:tcPr>
          <w:p>
            <w:pPr>
              <w:spacing w:after="60"/>
            </w:pPr>
            <w:r/>
            <w:r>
              <w:rPr>
                <w:b w:val="0"/>
                <w:sz w:val="20"/>
              </w:rPr>
              <w:t>art. 101.º (cap. X)</w:t>
            </w:r>
          </w:p>
        </w:tc>
        <w:tc>
          <w:tcPr>
            <w:tcW w:w="6009"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P-42.</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928" w:type="dxa"/>
          </w:tcPr>
          <w:p>
            <w:pPr>
              <w:spacing w:after="60"/>
            </w:pPr>
            <w:r/>
            <w:r>
              <w:rPr>
                <w:b w:val="0"/>
                <w:sz w:val="20"/>
              </w:rPr>
              <w:t>art. 39.º (cap. IV); art. 39-b (cap. IV); art. 40.º (cap. IV)</w:t>
            </w:r>
          </w:p>
        </w:tc>
        <w:tc>
          <w:tcPr>
            <w:tcW w:w="6009"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928" w:type="dxa"/>
          </w:tcPr>
          <w:p>
            <w:pPr>
              <w:spacing w:after="60"/>
            </w:pPr>
            <w:r/>
            <w:r>
              <w:rPr>
                <w:b w:val="0"/>
                <w:sz w:val="20"/>
              </w:rPr>
              <w:t>art. 89.º (cap. X)</w:t>
            </w:r>
          </w:p>
        </w:tc>
        <w:tc>
          <w:tcPr>
            <w:tcW w:w="6009"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P-42.</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928" w:type="dxa"/>
          </w:tcPr>
          <w:p>
            <w:pPr>
              <w:spacing w:after="60"/>
            </w:pPr>
            <w:r/>
            <w:r>
              <w:rPr>
                <w:b w:val="0"/>
                <w:sz w:val="20"/>
              </w:rPr>
              <w:t>art. 90.º (cap. X)</w:t>
            </w:r>
          </w:p>
        </w:tc>
        <w:tc>
          <w:tcPr>
            <w:tcW w:w="6009"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928" w:type="dxa"/>
          </w:tcPr>
          <w:p>
            <w:pPr>
              <w:spacing w:after="60"/>
            </w:pPr>
            <w:r/>
            <w:r>
              <w:rPr>
                <w:b w:val="0"/>
                <w:sz w:val="20"/>
              </w:rPr>
              <w:t>art. 98.º (cap. X)</w:t>
            </w:r>
          </w:p>
        </w:tc>
        <w:tc>
          <w:tcPr>
            <w:tcW w:w="6009"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928" w:type="dxa"/>
          </w:tcPr>
          <w:p>
            <w:pPr>
              <w:spacing w:after="60"/>
            </w:pPr>
            <w:r/>
            <w:r>
              <w:rPr>
                <w:b w:val="0"/>
                <w:sz w:val="20"/>
              </w:rPr>
              <w:t>art. 95.º (cap. X)</w:t>
            </w:r>
          </w:p>
        </w:tc>
        <w:tc>
          <w:tcPr>
            <w:tcW w:w="6009"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928" w:type="dxa"/>
          </w:tcPr>
          <w:p>
            <w:pPr>
              <w:spacing w:after="60"/>
            </w:pPr>
            <w:r/>
            <w:r>
              <w:rPr>
                <w:b w:val="0"/>
                <w:sz w:val="20"/>
              </w:rPr>
              <w:t>art. 50.º (cap. IV); art. 51.º (cap. IV); art. 52.º (cap. IV)</w:t>
            </w:r>
          </w:p>
        </w:tc>
        <w:tc>
          <w:tcPr>
            <w:tcW w:w="6009"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r>
        <w:tc>
          <w:tcPr>
            <w:tcW w:w="907" w:type="dxa"/>
          </w:tcPr>
          <w:p>
            <w:pPr>
              <w:spacing w:after="60"/>
            </w:pPr>
            <w:r/>
            <w:r>
              <w:rPr>
                <w:b w:val="0"/>
                <w:sz w:val="20"/>
              </w:rPr>
              <w:t>L-19</w:t>
            </w:r>
          </w:p>
        </w:tc>
        <w:tc>
          <w:tcPr>
            <w:tcW w:w="1928" w:type="dxa"/>
          </w:tcPr>
          <w:p>
            <w:pPr>
              <w:spacing w:after="60"/>
            </w:pPr>
            <w:r/>
            <w:r>
              <w:rPr>
                <w:b w:val="0"/>
                <w:sz w:val="20"/>
              </w:rPr>
              <w:t>art. 79.º (cap. VIII); art. 120.º (cap. XIV); art. 121.º (cap. XIV)</w:t>
            </w:r>
          </w:p>
        </w:tc>
        <w:tc>
          <w:tcPr>
            <w:tcW w:w="6009" w:type="dxa"/>
          </w:tcPr>
          <w:p>
            <w:pPr>
              <w:spacing w:after="60"/>
            </w:pPr>
            <w:r/>
            <w:r>
              <w:rPr>
                <w:b w:val="0"/>
                <w:sz w:val="20"/>
              </w:rPr>
              <w:t>Remissões por fixar nas normas dos cães perigosos. O art. 79.º, n.º 3 remete para o «artigo XXº (artigo perigosos)». O art. 120.º, n.º 2, al. a), remete para o «n.º X do artigo XX.º». O art. 121.º, n.º 5 remete para a documentação «referida no n.º XX.º».</w:t>
            </w:r>
          </w:p>
        </w:tc>
        <w:tc>
          <w:tcPr>
            <w:tcW w:w="4309" w:type="dxa"/>
          </w:tcPr>
          <w:p>
            <w:pPr>
              <w:spacing w:after="60"/>
            </w:pPr>
            <w:r/>
            <w:r>
              <w:rPr>
                <w:b w:val="0"/>
                <w:sz w:val="20"/>
              </w:rPr>
              <w:t>No art. 79.º, n.º 3 e no art. 121.º, n.º 5, remeter para o art. 110.º, n.º 3. No art. 120.º, n.º 2, al. a), remeter para o art. 119.º, n.º 2 (meios de contenção).</w:t>
            </w:r>
          </w:p>
        </w:tc>
        <w:tc>
          <w:tcPr>
            <w:tcW w:w="1417" w:type="dxa"/>
          </w:tcPr>
          <w:p>
            <w:pPr>
              <w:spacing w:after="60"/>
            </w:pPr>
            <w:r/>
            <w:r>
              <w:rPr>
                <w:b w:val="0"/>
                <w:sz w:val="20"/>
              </w:rPr>
              <w:t>Aberto</w:t>
            </w:r>
          </w:p>
        </w:tc>
      </w:tr>
      <w:tr>
        <w:tc>
          <w:tcPr>
            <w:tcW w:w="907" w:type="dxa"/>
          </w:tcPr>
          <w:p>
            <w:pPr>
              <w:spacing w:after="60"/>
            </w:pPr>
            <w:r/>
            <w:r>
              <w:rPr>
                <w:b w:val="0"/>
                <w:sz w:val="20"/>
              </w:rPr>
              <w:t>L-20</w:t>
            </w:r>
          </w:p>
        </w:tc>
        <w:tc>
          <w:tcPr>
            <w:tcW w:w="1928" w:type="dxa"/>
          </w:tcPr>
          <w:p>
            <w:pPr>
              <w:spacing w:after="60"/>
            </w:pPr>
            <w:r/>
            <w:r>
              <w:rPr>
                <w:b w:val="0"/>
                <w:sz w:val="20"/>
              </w:rPr>
              <w:t>art. 110.º (cap. XIV); art. 112.º (cap. XIV); art. 113.º (cap. XIV); art. 114.º (cap. XIV)</w:t>
            </w:r>
          </w:p>
        </w:tc>
        <w:tc>
          <w:tcPr>
            <w:tcW w:w="6009" w:type="dxa"/>
          </w:tcPr>
          <w:p>
            <w:pPr>
              <w:spacing w:after="60"/>
            </w:pPr>
            <w:r/>
            <w:r>
              <w:rPr>
                <w:b w:val="0"/>
                <w:sz w:val="20"/>
              </w:rPr>
              <w:t>Remissões erradas ou incompletas nas normas da formação para cães perigosos. A última alínea do art. 110.º, n.º 3 acaba em «como previsto no artigo.», sem número. O art. 112.º remete para a «alínea f) do n.º 2 do artigo anterior», mas o art. 111.º não tem alíneas e o comprovativo está no art. 110.º, n.º 3. O art. 113.º, n.º 1 fala da formação «prevista no número anterior», e é o primeiro número. O art. 114.º, n.º 1 diz «nos termos da para os titulares», com palavras em falta.</w:t>
            </w:r>
          </w:p>
        </w:tc>
        <w:tc>
          <w:tcPr>
            <w:tcW w:w="4309" w:type="dxa"/>
          </w:tcPr>
          <w:p>
            <w:pPr>
              <w:spacing w:after="60"/>
            </w:pPr>
            <w:r/>
            <w:r>
              <w:rPr>
                <w:b w:val="0"/>
                <w:sz w:val="20"/>
              </w:rPr>
              <w:t>No art. 110.º, n.º 3, remeter para o art. 112.º. No art. 112.º, remeter para a última alínea do art. 110.º, n.º 3. No art. 113.º, n.º 1, escrever «no artigo anterior». No art. 114.º, n.º 1, completar a frase.</w:t>
            </w:r>
          </w:p>
        </w:tc>
        <w:tc>
          <w:tcPr>
            <w:tcW w:w="1417" w:type="dxa"/>
          </w:tcPr>
          <w:p>
            <w:pPr>
              <w:spacing w:after="60"/>
            </w:pPr>
            <w:r/>
            <w:r>
              <w:rPr>
                <w:b w:val="0"/>
                <w:sz w:val="20"/>
              </w:rPr>
              <w:t>Aberto</w:t>
            </w:r>
          </w:p>
        </w:tc>
      </w:tr>
      <w:tr>
        <w:tc>
          <w:tcPr>
            <w:tcW w:w="907" w:type="dxa"/>
          </w:tcPr>
          <w:p>
            <w:pPr>
              <w:spacing w:after="60"/>
            </w:pPr>
            <w:r/>
            <w:r>
              <w:rPr>
                <w:b w:val="0"/>
                <w:sz w:val="20"/>
              </w:rPr>
              <w:t>L-21</w:t>
            </w:r>
          </w:p>
        </w:tc>
        <w:tc>
          <w:tcPr>
            <w:tcW w:w="1928" w:type="dxa"/>
          </w:tcPr>
          <w:p>
            <w:pPr>
              <w:spacing w:after="60"/>
            </w:pPr>
            <w:r/>
            <w:r>
              <w:rPr>
                <w:b w:val="0"/>
                <w:sz w:val="20"/>
              </w:rPr>
              <w:t>art. 137.º (cap. XV)</w:t>
            </w:r>
          </w:p>
        </w:tc>
        <w:tc>
          <w:tcPr>
            <w:tcW w:w="6009" w:type="dxa"/>
          </w:tcPr>
          <w:p>
            <w:pPr>
              <w:spacing w:after="60"/>
            </w:pPr>
            <w:r/>
            <w:r>
              <w:rPr>
                <w:b w:val="0"/>
                <w:sz w:val="20"/>
              </w:rPr>
              <w:t>O art. 137.º, n.º 1 diz «uma situação que ponha esteja em risco a saúde pública ou o bem-estar dos animais», com dois verbos seguidos. O n.º 2 começa por «Na sequência do pedido de colaboração referido no número anterior», mas o n.º 1 não fala de pedido de colaboração: fala de um relatório descritivo comunicado à DGAV.</w:t>
            </w:r>
          </w:p>
        </w:tc>
        <w:tc>
          <w:tcPr>
            <w:tcW w:w="4309" w:type="dxa"/>
          </w:tcPr>
          <w:p>
            <w:pPr>
              <w:spacing w:after="60"/>
            </w:pPr>
            <w:r/>
            <w:r>
              <w:rPr>
                <w:b w:val="0"/>
                <w:sz w:val="20"/>
              </w:rPr>
              <w:t>No n.º 1, «ponha em risco». No n.º 2, «Na sequência do relatório referido no número anterior».</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12</w:t>
            </w:r>
          </w:p>
        </w:tc>
        <w:tc>
          <w:tcPr>
            <w:tcW w:w="1701" w:type="dxa"/>
          </w:tcPr>
          <w:p>
            <w:pPr>
              <w:spacing w:after="60"/>
            </w:pPr>
            <w:r/>
            <w:r>
              <w:rPr>
                <w:b w:val="0"/>
                <w:sz w:val="20"/>
              </w:rPr>
              <w:t>23</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11</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0</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19</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61</w:t>
            </w:r>
          </w:p>
        </w:tc>
        <w:tc>
          <w:tcPr>
            <w:tcW w:w="1701" w:type="dxa"/>
          </w:tcPr>
          <w:p>
            <w:pPr>
              <w:spacing w:after="60"/>
            </w:pPr>
            <w:r/>
            <w:r>
              <w:rPr>
                <w:b/>
                <w:sz w:val="20"/>
              </w:rPr>
              <w:t>92</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P-41, P-43, P-44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P-01, P-03, P-06, P-09, P-14, P-18, P-36, P-20, P-30, P-37, P-38, 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P-03, P-27, 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P-13, P-16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P-40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P-40,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P-12,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P-48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P-14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P-50, 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P-50, P-51,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P-50,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Parcial</w:t>
            </w:r>
          </w:p>
        </w:tc>
        <w:tc>
          <w:tcPr>
            <w:tcW w:w="2268" w:type="dxa"/>
          </w:tcPr>
          <w:p>
            <w:pPr>
              <w:spacing w:after="60"/>
            </w:pPr>
            <w:r/>
            <w:r>
              <w:rPr>
                <w:b w:val="0"/>
                <w:sz w:val="20"/>
              </w:rPr>
              <w:t>P-52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P-30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P-01, P-02, P-03, P-08, P-36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P-10, P-17, P-25, P-26, P-46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P-04, P-05, P-09, P-17,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P-04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P-49,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P-42,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P-21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P-35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P-36, P-19, P-20, P-22, P-23, P-24, P-25, P-26, P-27, P-29, P-31, P-32, P-33, P-34,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P-28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P-10, P-42,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P-15, P-22, P-30, P-37, P-38, P-39, P-42, P-45,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P-37, 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P-10,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P-10, P-42, P-45, P-46, P-48,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P-10,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P-42,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Parcial</w:t>
            </w:r>
          </w:p>
        </w:tc>
        <w:tc>
          <w:tcPr>
            <w:tcW w:w="2268" w:type="dxa"/>
          </w:tcPr>
          <w:p>
            <w:pPr>
              <w:spacing w:after="60"/>
            </w:pPr>
            <w:r/>
            <w:r>
              <w:rPr>
                <w:b w:val="0"/>
                <w:sz w:val="20"/>
              </w:rPr>
              <w:t>P-52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Parcial</w:t>
            </w:r>
          </w:p>
        </w:tc>
        <w:tc>
          <w:tcPr>
            <w:tcW w:w="2268" w:type="dxa"/>
          </w:tcPr>
          <w:p>
            <w:pPr>
              <w:spacing w:after="60"/>
            </w:pPr>
            <w:r/>
            <w:r>
              <w:rPr>
                <w:b w:val="0"/>
                <w:sz w:val="20"/>
              </w:rPr>
              <w:t>P-52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Parcial</w:t>
            </w:r>
          </w:p>
        </w:tc>
        <w:tc>
          <w:tcPr>
            <w:tcW w:w="2268" w:type="dxa"/>
          </w:tcPr>
          <w:p>
            <w:pPr>
              <w:spacing w:after="60"/>
            </w:pPr>
            <w:r/>
            <w:r>
              <w:rPr>
                <w:b w:val="0"/>
                <w:sz w:val="20"/>
              </w:rPr>
              <w:t>P-49, 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Parcial</w:t>
            </w:r>
          </w:p>
        </w:tc>
        <w:tc>
          <w:tcPr>
            <w:tcW w:w="2268" w:type="dxa"/>
          </w:tcPr>
          <w:p>
            <w:pPr>
              <w:spacing w:after="60"/>
            </w:pPr>
            <w:r/>
            <w:r>
              <w:rPr>
                <w:b w:val="0"/>
                <w:sz w:val="20"/>
              </w:rPr>
              <w:t>P-49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Parcial</w:t>
            </w:r>
          </w:p>
        </w:tc>
        <w:tc>
          <w:tcPr>
            <w:tcW w:w="2268" w:type="dxa"/>
          </w:tcPr>
          <w:p>
            <w:pPr>
              <w:spacing w:after="60"/>
            </w:pPr>
            <w:r/>
            <w:r>
              <w:rPr>
                <w:b w:val="0"/>
                <w:sz w:val="20"/>
              </w:rPr>
              <w:t>P-49,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Parcial</w:t>
            </w:r>
          </w:p>
        </w:tc>
        <w:tc>
          <w:tcPr>
            <w:tcW w:w="2268" w:type="dxa"/>
          </w:tcPr>
          <w:p>
            <w:pPr>
              <w:spacing w:after="60"/>
            </w:pPr>
            <w:r/>
            <w:r>
              <w:rPr>
                <w:b w:val="0"/>
                <w:sz w:val="20"/>
              </w:rPr>
              <w:t>P-49,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Parcial</w:t>
            </w:r>
          </w:p>
        </w:tc>
        <w:tc>
          <w:tcPr>
            <w:tcW w:w="2268" w:type="dxa"/>
          </w:tcPr>
          <w:p>
            <w:pPr>
              <w:spacing w:after="60"/>
            </w:pPr>
            <w:r/>
            <w:r>
              <w:rPr>
                <w:b w:val="0"/>
                <w:sz w:val="20"/>
              </w:rPr>
              <w:t>P-49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Parcial</w:t>
            </w:r>
          </w:p>
        </w:tc>
        <w:tc>
          <w:tcPr>
            <w:tcW w:w="2268" w:type="dxa"/>
          </w:tcPr>
          <w:p>
            <w:pPr>
              <w:spacing w:after="60"/>
            </w:pPr>
            <w:r/>
            <w:r>
              <w:rPr>
                <w:b w:val="0"/>
                <w:sz w:val="20"/>
              </w:rPr>
              <w:t>P-52, L-21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P-47, P-52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P-47, P-50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P-06, P-11, P-15, P-21, P-22, P-40, P-42, P-43, P-52,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Parcial</w:t>
            </w:r>
          </w:p>
        </w:tc>
        <w:tc>
          <w:tcPr>
            <w:tcW w:w="2268" w:type="dxa"/>
          </w:tcPr>
          <w:p>
            <w:pPr>
              <w:spacing w:after="60"/>
            </w:pPr>
            <w:r/>
            <w:r>
              <w:rPr>
                <w:b w:val="0"/>
                <w:sz w:val="20"/>
              </w:rPr>
              <w:t>P-50, P-51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P-42, P-47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P-07, P-19, P-43, P-44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Titularidade e detenção (21)</w:t>
      </w:r>
    </w:p>
    <w:p>
      <w:pPr>
        <w:spacing w:after="20"/>
        <w:ind w:left="454"/>
      </w:pPr>
      <w:r>
        <w:rPr>
          <w:b w:val="0"/>
          <w:i w:val="0"/>
        </w:rPr>
        <w:t>P-01. A definição de titular depende só do registo (art. 3.º, cap. I)</w:t>
      </w:r>
    </w:p>
    <w:p>
      <w:pPr>
        <w:spacing w:after="20"/>
        <w:ind w:left="454"/>
      </w:pPr>
      <w:r>
        <w:rPr>
          <w:b w:val="0"/>
          <w:i w:val="0"/>
        </w:rPr>
        <w:t>P-03. Sem regra sobre o valor do registo SIAC face à propriedade (art. 3.º, cap. I)</w:t>
      </w:r>
    </w:p>
    <w:p>
      <w:pPr>
        <w:spacing w:after="20"/>
        <w:ind w:left="454"/>
      </w:pPr>
      <w:r>
        <w:rPr>
          <w:b w:val="0"/>
          <w:i w:val="0"/>
        </w:rPr>
        <w:t>P-09. «Titular ou operador» quando o operador já é titular (art. 3.º, cap. I)</w:t>
      </w:r>
    </w:p>
    <w:p>
      <w:pPr>
        <w:spacing w:after="20"/>
        <w:ind w:left="454"/>
      </w:pPr>
      <w:r>
        <w:rPr>
          <w:b w:val="0"/>
          <w:i w:val="0"/>
        </w:rPr>
        <w:t>P-14. Família de acolhimento sem operador fica sem enquadramento (art. 3.º, cap. I)</w:t>
      </w:r>
    </w:p>
    <w:p>
      <w:pPr>
        <w:spacing w:after="20"/>
        <w:ind w:left="454"/>
      </w:pPr>
      <w:r>
        <w:rPr>
          <w:b w:val="0"/>
          <w:i w:val="0"/>
        </w:rPr>
        <w:t>P-18. Animais deixados em centros veterinários (art. 3.º, cap. I)</w:t>
      </w:r>
    </w:p>
    <w:p>
      <w:pPr>
        <w:spacing w:after="20"/>
        <w:ind w:left="454"/>
      </w:pPr>
      <w:r>
        <w:rPr>
          <w:b w:val="0"/>
          <w:i w:val="0"/>
        </w:rPr>
        <w:t>P-36. Nada diz quem é titular quando o animal não tem proprietário (art. 3.º, cap. I)</w:t>
      </w:r>
    </w:p>
    <w:p>
      <w:pPr>
        <w:spacing w:after="20"/>
        <w:ind w:left="454"/>
      </w:pPr>
      <w:r>
        <w:rPr>
          <w:b w:val="0"/>
          <w:i w:val="0"/>
        </w:rPr>
        <w:t>P-13. Quem responde pelos danos causados pelo animal (art. 6.º, cap. II)</w:t>
      </w:r>
    </w:p>
    <w:p>
      <w:pPr>
        <w:spacing w:after="20"/>
        <w:ind w:left="454"/>
      </w:pPr>
      <w:r>
        <w:rPr>
          <w:b w:val="0"/>
          <w:i w:val="0"/>
        </w:rPr>
        <w:t>P-16. Detentores de facto que dizem tratar de animais errantes (art. 6.º, cap. II)</w:t>
      </w:r>
    </w:p>
    <w:p>
      <w:pPr>
        <w:spacing w:after="20"/>
        <w:ind w:left="454"/>
      </w:pPr>
      <w:r>
        <w:rPr>
          <w:b w:val="0"/>
          <w:i w:val="0"/>
        </w:rPr>
        <w:t>P-12. Redação por decidir no art. 22.º (art. 22.º, cap. IV)</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spacing w:after="20"/>
        <w:ind w:left="454"/>
      </w:pPr>
      <w:r>
        <w:rPr>
          <w:b w:val="0"/>
          <w:i w:val="0"/>
        </w:rPr>
        <w:t>P-15. Quem encontra um animal passa a poder ser punido (art. 91.º, cap. X)</w:t>
      </w:r>
    </w:p>
    <w:p>
      <w:pPr>
        <w:spacing w:after="20"/>
        <w:ind w:left="454"/>
      </w:pPr>
      <w:r>
        <w:rPr>
          <w:b w:val="0"/>
          <w:i w:val="0"/>
        </w:rPr>
        <w:t>P-37. Quem acolhe um animal errante pode ficar sem saída lícita (art. 94.º, cap. X)</w:t>
      </w:r>
    </w:p>
    <w:p>
      <w:pPr>
        <w:spacing w:after="20"/>
        <w:ind w:left="454"/>
      </w:pPr>
      <w:r>
        <w:rPr>
          <w:b w:val="0"/>
          <w:i w:val="0"/>
        </w:rPr>
        <w:t>P-46. A presunção de abandono aos 15 dias não ressalva animais apreendidos nem animais socorridos em emergência (art. 98.º, cap. X)</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P-07. As portarias mantidas usam detentor no sentido antigo (art. 149.º, cap. XVI)</w:t>
      </w:r>
    </w:p>
    <w:p>
      <w:pPr>
        <w:pStyle w:val="Heading2"/>
      </w:pPr>
      <w:r>
        <w:rPr>
          <w:i w:val="0"/>
          <w:color w:val="000000"/>
        </w:rPr>
        <w:t>CED, colónias e animais errantes (20)</w:t>
      </w:r>
    </w:p>
    <w:p>
      <w:pPr>
        <w:spacing w:after="20"/>
        <w:ind w:left="454"/>
      </w:pPr>
      <w:r>
        <w:rPr>
          <w:b w:val="0"/>
          <w:i w:val="0"/>
        </w:rPr>
        <w:t>P-38. A definição de animal errante passa a abranger qualquer animal não identificado (art. 3.º, cap. I)</w:t>
      </w:r>
    </w:p>
    <w:p>
      <w:pPr>
        <w:spacing w:after="20"/>
        <w:ind w:left="454"/>
      </w:pPr>
      <w:r>
        <w:rPr>
          <w:b w:val="0"/>
          <w:i w:val="0"/>
        </w:rPr>
        <w:t>P-30. Gatos de colónia em infração permanente (art. 60.º, cap. VI)</w:t>
      </w:r>
    </w:p>
    <w:p>
      <w:pPr>
        <w:spacing w:after="20"/>
        <w:ind w:left="454"/>
      </w:pPr>
      <w:r>
        <w:rPr>
          <w:b w:val="0"/>
          <w:i w:val="0"/>
        </w:rPr>
        <w:t>P-21. Proibição nacional de alimentar animais na via pública (art. 84.º, cap. X)</w:t>
      </w:r>
    </w:p>
    <w:p>
      <w:pPr>
        <w:spacing w:after="20"/>
        <w:ind w:left="454"/>
      </w:pPr>
      <w:r>
        <w:rPr>
          <w:b w:val="0"/>
          <w:i w:val="0"/>
        </w:rPr>
        <w:t>P-35. Plano municipal de controlo de errantes sem conteúdo mínimo nem consequências (art. 85.º, cap. X)</w:t>
      </w:r>
    </w:p>
    <w:p>
      <w:pPr>
        <w:spacing w:after="20"/>
        <w:ind w:left="454"/>
      </w:pPr>
      <w:r>
        <w:rPr>
          <w:b w:val="0"/>
          <w:i w:val="0"/>
        </w:rPr>
        <w:t>P-19. O CED passa a ser só uma faculdade das câmaras (art. 86.º, cap. X)</w:t>
      </w:r>
    </w:p>
    <w:p>
      <w:pPr>
        <w:spacing w:after="20"/>
        <w:ind w:left="454"/>
      </w:pPr>
      <w:r>
        <w:rPr>
          <w:b w:val="0"/>
          <w:i w:val="0"/>
        </w:rPr>
        <w:t>P-20. O cuidador de colónia não existe no texto (art. 86.º, cap. X)</w:t>
      </w:r>
    </w:p>
    <w:p>
      <w:pPr>
        <w:spacing w:after="20"/>
        <w:ind w:left="454"/>
      </w:pPr>
      <w:r>
        <w:rPr>
          <w:b w:val="0"/>
          <w:i w:val="0"/>
        </w:rPr>
        <w:t>P-23. Passagem obrigatória pelo CRO antes de o gato entrar na colónia (art. 86.º, cap. X)</w:t>
      </w:r>
    </w:p>
    <w:p>
      <w:pPr>
        <w:spacing w:after="20"/>
        <w:ind w:left="454"/>
      </w:pPr>
      <w:r>
        <w:rPr>
          <w:b w:val="0"/>
          <w:i w:val="0"/>
        </w:rPr>
        <w:t>P-24. Exclusão dos cães do CED (art. 86.º, cap. X)</w:t>
      </w:r>
    </w:p>
    <w:p>
      <w:pPr>
        <w:spacing w:after="20"/>
        <w:ind w:left="454"/>
      </w:pPr>
      <w:r>
        <w:rPr>
          <w:b w:val="0"/>
          <w:i w:val="0"/>
        </w:rPr>
        <w:t>P-25. Remissões e numeração erradas no artigo do CED (art. 86.º, cap. X)</w:t>
      </w:r>
    </w:p>
    <w:p>
      <w:pPr>
        <w:spacing w:after="20"/>
        <w:ind w:left="454"/>
      </w:pPr>
      <w:r>
        <w:rPr>
          <w:b w:val="0"/>
          <w:i w:val="0"/>
        </w:rPr>
        <w:t>P-26. Entidade promotora, entidade responsável e titular: quem responde pela colónia (art. 86.º, cap. X)</w:t>
      </w:r>
    </w:p>
    <w:p>
      <w:pPr>
        <w:spacing w:after="20"/>
        <w:ind w:left="454"/>
      </w:pPr>
      <w:r>
        <w:rPr>
          <w:b w:val="0"/>
          <w:i w:val="0"/>
        </w:rPr>
        <w:t>P-27. Registo da colónia no SIAC sem conteúdo definido (art. 86.º, cap. X)</w:t>
      </w:r>
    </w:p>
    <w:p>
      <w:pPr>
        <w:spacing w:after="20"/>
        <w:ind w:left="454"/>
      </w:pPr>
      <w:r>
        <w:rPr>
          <w:b w:val="0"/>
          <w:i w:val="0"/>
        </w:rPr>
        <w:t>P-29. CED e conservação da natureza (art. 86.º, cap. X)</w:t>
      </w:r>
    </w:p>
    <w:p>
      <w:pPr>
        <w:spacing w:after="20"/>
        <w:ind w:left="454"/>
      </w:pPr>
      <w:r>
        <w:rPr>
          <w:b w:val="0"/>
          <w:i w:val="0"/>
        </w:rPr>
        <w:t>P-31. Crias e gatos sociáveis: retirar ou devolver (art. 86.º, cap. X)</w:t>
      </w:r>
    </w:p>
    <w:p>
      <w:pPr>
        <w:spacing w:after="20"/>
        <w:ind w:left="454"/>
      </w:pPr>
      <w:r>
        <w:rPr>
          <w:b w:val="0"/>
          <w:i w:val="0"/>
        </w:rPr>
        <w:t>P-32. Suspensão do programa e recolha dos gatos sem garantias (art. 86.º, cap. X)</w:t>
      </w:r>
    </w:p>
    <w:p>
      <w:pPr>
        <w:spacing w:after="20"/>
        <w:ind w:left="454"/>
      </w:pPr>
      <w:r>
        <w:rPr>
          <w:b w:val="0"/>
          <w:i w:val="0"/>
        </w:rPr>
        <w:t>P-33. Meios: médicos veterinários municipais e financiamento (art. 86.º, cap. X)</w:t>
      </w:r>
    </w:p>
    <w:p>
      <w:pPr>
        <w:spacing w:after="20"/>
        <w:ind w:left="454"/>
      </w:pPr>
      <w:r>
        <w:rPr>
          <w:b w:val="0"/>
          <w:i w:val="0"/>
        </w:rPr>
        <w:t>P-34. Conflito com vizinhos e dimensão da colónia (art. 86.º, cap. X)</w:t>
      </w:r>
    </w:p>
    <w:p>
      <w:pPr>
        <w:spacing w:after="20"/>
        <w:ind w:left="454"/>
      </w:pPr>
      <w:r>
        <w:rPr>
          <w:b w:val="0"/>
          <w:i w:val="0"/>
        </w:rPr>
        <w:t>P-28. Colónias em prédios privados (art. 87.º, cap. X)</w:t>
      </w:r>
    </w:p>
    <w:p>
      <w:pPr>
        <w:spacing w:after="20"/>
        <w:ind w:left="454"/>
      </w:pPr>
      <w:r>
        <w:rPr>
          <w:b w:val="0"/>
          <w:i w:val="0"/>
        </w:rPr>
        <w:t>P-22. Só as câmaras podem capturar, mas o CED pode ser gerido por outras entidades (art. 91.º, cap. X)</w:t>
      </w:r>
    </w:p>
    <w:p>
      <w:pPr>
        <w:spacing w:after="20"/>
        <w:ind w:left="454"/>
      </w:pPr>
      <w:r>
        <w:rPr>
          <w:b w:val="0"/>
          <w:i w:val="0"/>
        </w:rPr>
        <w:t>P-39. A Lei 75/2013 ainda atribui às câmaras o abate de canídeos e gatídeos (art. 91.º, cap. X)</w:t>
      </w:r>
    </w:p>
    <w:p>
      <w:pPr>
        <w:spacing w:after="20"/>
        <w:ind w:left="454"/>
      </w:pPr>
      <w:r>
        <w:rPr>
          <w:b w:val="0"/>
          <w:i w:val="0"/>
        </w:rPr>
        <w:t>P-37. Quem acolhe um animal errante pode ficar sem saída lícita (art. 94.º, cap. X)</w:t>
      </w:r>
    </w:p>
    <w:p>
      <w:pPr>
        <w:pStyle w:val="Heading2"/>
      </w:pPr>
      <w:r>
        <w:rPr>
          <w:i w:val="0"/>
          <w:color w:val="000000"/>
        </w:rPr>
        <w:t>Identificação e registo (11)</w:t>
      </w:r>
    </w:p>
    <w:p>
      <w:pPr>
        <w:spacing w:after="20"/>
        <w:ind w:left="454"/>
      </w:pPr>
      <w:r>
        <w:rPr>
          <w:b w:val="0"/>
          <w:i w:val="0"/>
        </w:rPr>
        <w:t>P-41. Duas normas diferentes sobre que espécies são animais de companhia (art. 2.º, cap. I)</w:t>
      </w:r>
    </w:p>
    <w:p>
      <w:pPr>
        <w:spacing w:after="20"/>
        <w:ind w:left="454"/>
      </w:pPr>
      <w:r>
        <w:rPr>
          <w:b w:val="0"/>
          <w:i w:val="0"/>
        </w:rPr>
        <w:t>P-48. Nada sobre animais de companhia em acidente grave ou catástrofe (art. 25.º, cap. IV)</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spacing w:after="20"/>
        <w:ind w:left="454"/>
      </w:pPr>
      <w:r>
        <w:rPr>
          <w:b w:val="0"/>
          <w:i w:val="0"/>
        </w:rPr>
        <w:t>P-46. A presunção de abandono aos 15 dias não ressalva animais apreendidos nem animais socorridos em emergência (art. 98.º, cap. X)</w:t>
      </w:r>
    </w:p>
    <w:p>
      <w:pPr>
        <w:spacing w:after="20"/>
        <w:ind w:left="454"/>
      </w:pPr>
      <w:r>
        <w:rPr>
          <w:b w:val="0"/>
          <w:i w:val="0"/>
        </w:rPr>
        <w:t>P-49. Duas vias para retirar a classificação de perigoso, sem ligação entre elas (art. 120.º, cap. XIV)</w:t>
      </w:r>
    </w:p>
    <w:p>
      <w:pPr>
        <w:spacing w:after="20"/>
        <w:ind w:left="454"/>
      </w:pPr>
      <w:r>
        <w:rPr>
          <w:b w:val="0"/>
          <w:i w:val="0"/>
        </w:rPr>
        <w:t>P-47. A apreensão provisória serve só as contraordenações e admite devolver os animais ao local de origem (art. 139.º, cap. XV)</w:t>
      </w:r>
    </w:p>
    <w:p>
      <w:pPr>
        <w:pStyle w:val="Heading2"/>
      </w:pPr>
      <w:r>
        <w:rPr>
          <w:i w:val="0"/>
          <w:color w:val="000000"/>
        </w:rPr>
        <w:t>Estabelecimentos e operadores (6)</w:t>
      </w:r>
    </w:p>
    <w:p>
      <w:pPr>
        <w:spacing w:after="20"/>
        <w:ind w:left="454"/>
      </w:pPr>
      <w:r>
        <w:rPr>
          <w:b w:val="0"/>
          <w:i w:val="0"/>
        </w:rPr>
        <w:t>P-12. Redação por decidir no art. 22.º (art. 22.º, cap. IV)</w:t>
      </w:r>
    </w:p>
    <w:p>
      <w:pPr>
        <w:spacing w:after="20"/>
        <w:ind w:left="454"/>
      </w:pPr>
      <w:r>
        <w:rPr>
          <w:b w:val="0"/>
          <w:i w:val="0"/>
        </w:rPr>
        <w:t>P-48. Nada sobre animais de companhia em acidente grave ou catástrofe (art. 25.º, cap. IV)</w:t>
      </w:r>
    </w:p>
    <w:p>
      <w:pPr>
        <w:spacing w:after="20"/>
        <w:ind w:left="454"/>
      </w:pPr>
      <w:r>
        <w:rPr>
          <w:b w:val="0"/>
          <w:i w:val="0"/>
        </w:rPr>
        <w:t>P-50. O encerramento de estabelecimentos fica sem medida cautelar, sem regra para os animais e sem efeito no registo (art. 50.º, cap. IV)</w:t>
      </w:r>
    </w:p>
    <w:p>
      <w:pPr>
        <w:spacing w:after="20"/>
        <w:ind w:left="454"/>
      </w:pPr>
      <w:r>
        <w:rPr>
          <w:b w:val="0"/>
          <w:i w:val="0"/>
        </w:rPr>
        <w:t>P-52. O dever geral de colaboração de terceiros e a coima por recusa de informações não passam para o RGAC (art. 138.º, cap. XV)</w:t>
      </w:r>
    </w:p>
    <w:p>
      <w:pPr>
        <w:spacing w:after="20"/>
        <w:ind w:left="454"/>
      </w:pPr>
      <w:r>
        <w:rPr>
          <w:b w:val="0"/>
          <w:i w:val="0"/>
        </w:rPr>
        <w:t>P-42. Os deveres dos CRO e o relatório anual ficam sem coima (art. 140.º, cap. XV)</w:t>
      </w:r>
    </w:p>
    <w:p>
      <w:pPr>
        <w:spacing w:after="20"/>
        <w:ind w:left="454"/>
      </w:pPr>
      <w:r>
        <w:rPr>
          <w:b w:val="0"/>
          <w:i w:val="0"/>
        </w:rPr>
        <w:t>P-51. As sanções acessórias perdem a interdição do exercício da atividade (art. 141.º, cap. XV)</w:t>
      </w:r>
    </w:p>
    <w:p>
      <w:pPr>
        <w:pStyle w:val="Heading2"/>
      </w:pPr>
      <w:r>
        <w:rPr>
          <w:i w:val="0"/>
          <w:color w:val="000000"/>
        </w:rPr>
        <w:t>Fiscalização e contraordenações (9)</w:t>
      </w:r>
    </w:p>
    <w:p>
      <w:pPr>
        <w:spacing w:after="20"/>
        <w:ind w:left="454"/>
      </w:pPr>
      <w:r>
        <w:rPr>
          <w:b w:val="0"/>
          <w:i w:val="0"/>
        </w:rPr>
        <w:t>P-50. O encerramento de estabelecimentos fica sem medida cautelar, sem regra para os animais e sem efeito no registo (art. 50.º, cap. IV)</w:t>
      </w:r>
    </w:p>
    <w:p>
      <w:pPr>
        <w:spacing w:after="20"/>
        <w:ind w:left="454"/>
      </w:pPr>
      <w:r>
        <w:rPr>
          <w:b w:val="0"/>
          <w:i w:val="0"/>
        </w:rPr>
        <w:t>P-45. A recolha por razões de bem-estar passa da DGAV para as câmaras e o destino para o médico veterinário municipal (art. 91.º, cap. X)</w:t>
      </w:r>
    </w:p>
    <w:p>
      <w:pPr>
        <w:spacing w:after="20"/>
        <w:ind w:left="454"/>
      </w:pPr>
      <w:r>
        <w:rPr>
          <w:b w:val="0"/>
          <w:i w:val="0"/>
        </w:rPr>
        <w:t>P-52. O dever geral de colaboração de terceiros e a coima por recusa de informações não passam para o RGAC (art. 138.º, cap. XV)</w:t>
      </w:r>
    </w:p>
    <w:p>
      <w:pPr>
        <w:spacing w:after="20"/>
        <w:ind w:left="454"/>
      </w:pPr>
      <w:r>
        <w:rPr>
          <w:b w:val="0"/>
          <w:i w:val="0"/>
        </w:rPr>
        <w:t>P-47. A apreensão provisória serve só as contraordenações e admite devolver os animais ao local de origem (art. 139.º, cap. XV)</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P-42. Os deveres dos CRO e o relatório anual ficam sem coima (art. 140.º, cap. XV)</w:t>
      </w:r>
    </w:p>
    <w:p>
      <w:pPr>
        <w:spacing w:after="20"/>
        <w:ind w:left="454"/>
      </w:pPr>
      <w:r>
        <w:rPr>
          <w:b w:val="0"/>
          <w:i w:val="0"/>
        </w:rPr>
        <w:t>P-51. As sanções acessórias perdem a interdição do exercício da atividade (art. 141.º, cap. XV)</w:t>
      </w:r>
    </w:p>
    <w:p>
      <w:pPr>
        <w:spacing w:after="20"/>
        <w:ind w:left="454"/>
      </w:pPr>
      <w:r>
        <w:rPr>
          <w:b w:val="0"/>
          <w:i w:val="0"/>
        </w:rPr>
        <w:t>P-43. A revogação total da Lei 92/95 apaga normas que não tratam de animais de companhia (art. 149.º, cap. XVI)</w:t>
      </w:r>
    </w:p>
    <w:p>
      <w:pPr>
        <w:pStyle w:val="Heading2"/>
      </w:pPr>
      <w:r>
        <w:rPr>
          <w:i w:val="0"/>
          <w:color w:val="000000"/>
        </w:rPr>
        <w:t>Disposições finais e revogações (3)</w:t>
      </w:r>
    </w:p>
    <w:p>
      <w:pPr>
        <w:spacing w:after="20"/>
        <w:ind w:left="454"/>
      </w:pPr>
      <w:r>
        <w:rPr>
          <w:b w:val="0"/>
          <w:i w:val="0"/>
        </w:rPr>
        <w:t>P-07. As portarias mantidas usam detentor no sentido antigo (art. 149.º, cap. XVI)</w:t>
      </w:r>
    </w:p>
    <w:p>
      <w:pPr>
        <w:spacing w:after="20"/>
        <w:ind w:left="454"/>
      </w:pPr>
      <w:r>
        <w:rPr>
          <w:b w:val="0"/>
          <w:i w:val="0"/>
        </w:rPr>
        <w:t>P-43. A revogação total da Lei 92/95 apaga normas que não tratam de animais de companhia (art. 149.º, cap. XVI)</w:t>
      </w:r>
    </w:p>
    <w:p>
      <w:pPr>
        <w:spacing w:after="20"/>
        <w:ind w:left="454"/>
      </w:pPr>
      <w:r>
        <w:rPr>
          <w:b w:val="0"/>
          <w:i w:val="0"/>
        </w:rPr>
        <w:t>P-44. O DL 74/2007 é ressalvado e revogado ao mesmo tempo (art. 149.º, cap. XVI)</w:t>
      </w:r>
    </w:p>
    <w:p>
      <w:pPr>
        <w:pStyle w:val="Heading2"/>
      </w:pPr>
      <w:r>
        <w:rPr>
          <w:i w:val="0"/>
          <w:color w:val="000000"/>
        </w:rPr>
        <w:t>Bem-estar e deveres de detenção (5)</w:t>
      </w:r>
    </w:p>
    <w:p>
      <w:pPr>
        <w:spacing w:after="20"/>
        <w:ind w:left="454"/>
      </w:pPr>
      <w:r>
        <w:rPr>
          <w:b w:val="0"/>
          <w:i w:val="0"/>
        </w:rPr>
        <w:t>P-40. A amarração no domicílio fica sem duração máxima nem requisitos verificáveis (art. 19.º, cap. II)</w:t>
      </w:r>
    </w:p>
    <w:p>
      <w:pPr>
        <w:spacing w:after="20"/>
        <w:ind w:left="454"/>
      </w:pPr>
      <w:r>
        <w:rPr>
          <w:b w:val="0"/>
          <w:i w:val="0"/>
        </w:rPr>
        <w:t>P-48. Nada sobre animais de companhia em acidente grave ou catástrofe (art. 25.º, cap. IV)</w:t>
      </w:r>
    </w:p>
    <w:p>
      <w:pPr>
        <w:spacing w:after="20"/>
        <w:ind w:left="454"/>
      </w:pPr>
      <w:r>
        <w:rPr>
          <w:b w:val="0"/>
          <w:i w:val="0"/>
        </w:rPr>
        <w:t>P-50. O encerramento de estabelecimentos fica sem medida cautelar, sem regra para os animais e sem efeito no registo (art. 50.º, cap. IV)</w:t>
      </w:r>
    </w:p>
    <w:p>
      <w:pPr>
        <w:spacing w:after="20"/>
        <w:ind w:left="454"/>
      </w:pPr>
      <w:r>
        <w:rPr>
          <w:b w:val="0"/>
          <w:i w:val="0"/>
        </w:rPr>
        <w:t>P-45. A recolha por razões de bem-estar passa da DGAV para as câmaras e o destino para o médico veterinário municipal (art. 91.º, cap. X)</w:t>
      </w:r>
    </w:p>
    <w:p>
      <w:pPr>
        <w:spacing w:after="20"/>
        <w:ind w:left="454"/>
      </w:pPr>
      <w:r>
        <w:rPr>
          <w:b w:val="0"/>
          <w:i w:val="0"/>
        </w:rPr>
        <w:t>P-43. A revogação total da Lei 92/95 apaga normas que não tratam de animais de companhia (art. 149.º, cap. XVI)</w:t>
      </w:r>
    </w:p>
    <w:p>
      <w:pPr>
        <w:pStyle w:val="Heading2"/>
      </w:pPr>
      <w:r>
        <w:rPr>
          <w:i w:val="0"/>
          <w:color w:val="000000"/>
        </w:rPr>
        <w:t>Animais perigosos (1)</w:t>
      </w:r>
    </w:p>
    <w:p>
      <w:pPr>
        <w:spacing w:after="20"/>
        <w:ind w:left="454"/>
      </w:pPr>
      <w:r>
        <w:rPr>
          <w:b w:val="0"/>
          <w:i w:val="0"/>
        </w:rPr>
        <w:t>P-49. Duas vias para retirar a classificação de perigoso, sem ligação entre elas (art. 120.º, cap. XIV)</w:t>
      </w:r>
    </w:p>
    <w:p>
      <w:r>
        <w:br w:type="page"/>
      </w:r>
    </w:p>
    <w:p>
      <w:pPr>
        <w:pStyle w:val="Heading1"/>
      </w:pPr>
      <w:r>
        <w:rPr>
          <w:i w:val="0"/>
          <w:color w:val="000000"/>
        </w:rPr>
        <w:t>Anexo F. Correspondência com os códigos da versão 1.x</w:t>
      </w:r>
    </w:p>
    <w:p>
      <w:r>
        <w:rPr>
          <w:b w:val="0"/>
          <w:i w:val="0"/>
        </w:rPr>
        <w:t>As versões 1 a 1.7 do memorando usavam códigos por tema (T para titularidade, C para CED). A partir da versão 2.0 cada ficha tem um código permanente P.</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417"/>
        <w:gridCol w:w="1417"/>
        <w:gridCol w:w="6236"/>
      </w:tblGrid>
      <w:tr>
        <w:trPr>
          <w:tblHeader w:val="true"/>
        </w:trPr>
        <w:tc>
          <w:tcPr>
            <w:tcW w:w="1417" w:type="dxa"/>
          </w:tcPr>
          <w:p>
            <w:pPr>
              <w:spacing w:after="60"/>
            </w:pPr>
            <w:r/>
            <w:r>
              <w:rPr>
                <w:b/>
                <w:sz w:val="20"/>
              </w:rPr>
              <w:t>Código 1.x</w:t>
            </w:r>
          </w:p>
        </w:tc>
        <w:tc>
          <w:tcPr>
            <w:tcW w:w="1417" w:type="dxa"/>
          </w:tcPr>
          <w:p>
            <w:pPr>
              <w:spacing w:after="60"/>
            </w:pPr>
            <w:r/>
            <w:r>
              <w:rPr>
                <w:b/>
                <w:sz w:val="20"/>
              </w:rPr>
              <w:t>Código 2.0</w:t>
            </w:r>
          </w:p>
        </w:tc>
        <w:tc>
          <w:tcPr>
            <w:tcW w:w="6236" w:type="dxa"/>
          </w:tcPr>
          <w:p>
            <w:pPr>
              <w:spacing w:after="60"/>
            </w:pPr>
            <w:r/>
            <w:r>
              <w:rPr>
                <w:b/>
                <w:sz w:val="20"/>
              </w:rPr>
              <w:t>Assunto</w:t>
            </w:r>
          </w:p>
        </w:tc>
      </w:tr>
      <w:tr>
        <w:tc>
          <w:tcPr>
            <w:tcW w:w="1417" w:type="dxa"/>
          </w:tcPr>
          <w:p>
            <w:pPr>
              <w:spacing w:after="60"/>
            </w:pPr>
            <w:r/>
            <w:r>
              <w:rPr>
                <w:b w:val="0"/>
                <w:sz w:val="20"/>
              </w:rPr>
              <w:t>T-01</w:t>
            </w:r>
          </w:p>
        </w:tc>
        <w:tc>
          <w:tcPr>
            <w:tcW w:w="1417" w:type="dxa"/>
          </w:tcPr>
          <w:p>
            <w:pPr>
              <w:spacing w:after="60"/>
            </w:pPr>
            <w:r/>
            <w:r>
              <w:rPr>
                <w:b w:val="0"/>
                <w:sz w:val="20"/>
              </w:rPr>
              <w:t>P-01</w:t>
            </w:r>
          </w:p>
        </w:tc>
        <w:tc>
          <w:tcPr>
            <w:tcW w:w="6236" w:type="dxa"/>
          </w:tcPr>
          <w:p>
            <w:pPr>
              <w:spacing w:after="60"/>
            </w:pPr>
            <w:r/>
            <w:r>
              <w:rPr>
                <w:b w:val="0"/>
                <w:sz w:val="20"/>
              </w:rPr>
              <w:t>A definição de titular depende só do registo</w:t>
            </w:r>
          </w:p>
        </w:tc>
      </w:tr>
      <w:tr>
        <w:tc>
          <w:tcPr>
            <w:tcW w:w="1417" w:type="dxa"/>
          </w:tcPr>
          <w:p>
            <w:pPr>
              <w:spacing w:after="60"/>
            </w:pPr>
            <w:r/>
            <w:r>
              <w:rPr>
                <w:b w:val="0"/>
                <w:sz w:val="20"/>
              </w:rPr>
              <w:t>T-02</w:t>
            </w:r>
          </w:p>
        </w:tc>
        <w:tc>
          <w:tcPr>
            <w:tcW w:w="1417" w:type="dxa"/>
          </w:tcPr>
          <w:p>
            <w:pPr>
              <w:spacing w:after="60"/>
            </w:pPr>
            <w:r/>
            <w:r>
              <w:rPr>
                <w:b w:val="0"/>
                <w:sz w:val="20"/>
              </w:rPr>
              <w:t>P-02</w:t>
            </w:r>
          </w:p>
        </w:tc>
        <w:tc>
          <w:tcPr>
            <w:tcW w:w="6236" w:type="dxa"/>
          </w:tcPr>
          <w:p>
            <w:pPr>
              <w:spacing w:after="60"/>
            </w:pPr>
            <w:r/>
            <w:r>
              <w:rPr>
                <w:b w:val="0"/>
                <w:sz w:val="20"/>
              </w:rPr>
              <w:t>Registo em nome de quem detém o animal e não de quem é dono</w:t>
            </w:r>
          </w:p>
        </w:tc>
      </w:tr>
      <w:tr>
        <w:tc>
          <w:tcPr>
            <w:tcW w:w="1417" w:type="dxa"/>
          </w:tcPr>
          <w:p>
            <w:pPr>
              <w:spacing w:after="60"/>
            </w:pPr>
            <w:r/>
            <w:r>
              <w:rPr>
                <w:b w:val="0"/>
                <w:sz w:val="20"/>
              </w:rPr>
              <w:t>T-03</w:t>
            </w:r>
          </w:p>
        </w:tc>
        <w:tc>
          <w:tcPr>
            <w:tcW w:w="1417" w:type="dxa"/>
          </w:tcPr>
          <w:p>
            <w:pPr>
              <w:spacing w:after="60"/>
            </w:pPr>
            <w:r/>
            <w:r>
              <w:rPr>
                <w:b w:val="0"/>
                <w:sz w:val="20"/>
              </w:rPr>
              <w:t>P-03</w:t>
            </w:r>
          </w:p>
        </w:tc>
        <w:tc>
          <w:tcPr>
            <w:tcW w:w="6236" w:type="dxa"/>
          </w:tcPr>
          <w:p>
            <w:pPr>
              <w:spacing w:after="60"/>
            </w:pPr>
            <w:r/>
            <w:r>
              <w:rPr>
                <w:b w:val="0"/>
                <w:sz w:val="20"/>
              </w:rPr>
              <w:t>Sem regra sobre o valor do registo SIAC face à propriedade</w:t>
            </w:r>
          </w:p>
        </w:tc>
      </w:tr>
      <w:tr>
        <w:tc>
          <w:tcPr>
            <w:tcW w:w="1417" w:type="dxa"/>
          </w:tcPr>
          <w:p>
            <w:pPr>
              <w:spacing w:after="60"/>
            </w:pPr>
            <w:r/>
            <w:r>
              <w:rPr>
                <w:b w:val="0"/>
                <w:sz w:val="20"/>
              </w:rPr>
              <w:t>T-04</w:t>
            </w:r>
          </w:p>
        </w:tc>
        <w:tc>
          <w:tcPr>
            <w:tcW w:w="1417" w:type="dxa"/>
          </w:tcPr>
          <w:p>
            <w:pPr>
              <w:spacing w:after="60"/>
            </w:pPr>
            <w:r/>
            <w:r>
              <w:rPr>
                <w:b w:val="0"/>
                <w:sz w:val="20"/>
              </w:rPr>
              <w:t>P-04</w:t>
            </w:r>
          </w:p>
        </w:tc>
        <w:tc>
          <w:tcPr>
            <w:tcW w:w="6236" w:type="dxa"/>
          </w:tcPr>
          <w:p>
            <w:pPr>
              <w:spacing w:after="60"/>
            </w:pPr>
            <w:r/>
            <w:r>
              <w:rPr>
                <w:b w:val="0"/>
                <w:sz w:val="20"/>
              </w:rPr>
              <w:t>O detentor deixa de ter de comunicar a morte do animal</w:t>
            </w:r>
          </w:p>
        </w:tc>
      </w:tr>
      <w:tr>
        <w:tc>
          <w:tcPr>
            <w:tcW w:w="1417" w:type="dxa"/>
          </w:tcPr>
          <w:p>
            <w:pPr>
              <w:spacing w:after="60"/>
            </w:pPr>
            <w:r/>
            <w:r>
              <w:rPr>
                <w:b w:val="0"/>
                <w:sz w:val="20"/>
              </w:rPr>
              <w:t>T-05</w:t>
            </w:r>
          </w:p>
        </w:tc>
        <w:tc>
          <w:tcPr>
            <w:tcW w:w="1417" w:type="dxa"/>
          </w:tcPr>
          <w:p>
            <w:pPr>
              <w:spacing w:after="60"/>
            </w:pPr>
            <w:r/>
            <w:r>
              <w:rPr>
                <w:b w:val="0"/>
                <w:sz w:val="20"/>
              </w:rPr>
              <w:t>P-05</w:t>
            </w:r>
          </w:p>
        </w:tc>
        <w:tc>
          <w:tcPr>
            <w:tcW w:w="6236" w:type="dxa"/>
          </w:tcPr>
          <w:p>
            <w:pPr>
              <w:spacing w:after="60"/>
            </w:pPr>
            <w:r/>
            <w:r>
              <w:rPr>
                <w:b w:val="0"/>
                <w:sz w:val="20"/>
              </w:rPr>
              <w:t>A presunção de abandono remete para normas erradas e não diz a quem se aplica</w:t>
            </w:r>
          </w:p>
        </w:tc>
      </w:tr>
      <w:tr>
        <w:tc>
          <w:tcPr>
            <w:tcW w:w="1417" w:type="dxa"/>
          </w:tcPr>
          <w:p>
            <w:pPr>
              <w:spacing w:after="60"/>
            </w:pPr>
            <w:r/>
            <w:r>
              <w:rPr>
                <w:b w:val="0"/>
                <w:sz w:val="20"/>
              </w:rPr>
              <w:t>T-06</w:t>
            </w:r>
          </w:p>
        </w:tc>
        <w:tc>
          <w:tcPr>
            <w:tcW w:w="1417" w:type="dxa"/>
          </w:tcPr>
          <w:p>
            <w:pPr>
              <w:spacing w:after="60"/>
            </w:pPr>
            <w:r/>
            <w:r>
              <w:rPr>
                <w:b w:val="0"/>
                <w:sz w:val="20"/>
              </w:rPr>
              <w:t>P-06</w:t>
            </w:r>
          </w:p>
        </w:tc>
        <w:tc>
          <w:tcPr>
            <w:tcW w:w="6236" w:type="dxa"/>
          </w:tcPr>
          <w:p>
            <w:pPr>
              <w:spacing w:after="60"/>
            </w:pPr>
            <w:r/>
            <w:r>
              <w:rPr>
                <w:b w:val="0"/>
                <w:sz w:val="20"/>
              </w:rPr>
              <w:t>O abandono não aparece como contraordenação</w:t>
            </w:r>
          </w:p>
        </w:tc>
      </w:tr>
      <w:tr>
        <w:tc>
          <w:tcPr>
            <w:tcW w:w="1417" w:type="dxa"/>
          </w:tcPr>
          <w:p>
            <w:pPr>
              <w:spacing w:after="60"/>
            </w:pPr>
            <w:r/>
            <w:r>
              <w:rPr>
                <w:b w:val="0"/>
                <w:sz w:val="20"/>
              </w:rPr>
              <w:t>T-07</w:t>
            </w:r>
          </w:p>
        </w:tc>
        <w:tc>
          <w:tcPr>
            <w:tcW w:w="1417" w:type="dxa"/>
          </w:tcPr>
          <w:p>
            <w:pPr>
              <w:spacing w:after="60"/>
            </w:pPr>
            <w:r/>
            <w:r>
              <w:rPr>
                <w:b w:val="0"/>
                <w:sz w:val="20"/>
              </w:rPr>
              <w:t>P-07</w:t>
            </w:r>
          </w:p>
        </w:tc>
        <w:tc>
          <w:tcPr>
            <w:tcW w:w="6236" w:type="dxa"/>
          </w:tcPr>
          <w:p>
            <w:pPr>
              <w:spacing w:after="60"/>
            </w:pPr>
            <w:r/>
            <w:r>
              <w:rPr>
                <w:b w:val="0"/>
                <w:sz w:val="20"/>
              </w:rPr>
              <w:t>As portarias mantidas usam detentor no sentido antigo</w:t>
            </w:r>
          </w:p>
        </w:tc>
      </w:tr>
      <w:tr>
        <w:tc>
          <w:tcPr>
            <w:tcW w:w="1417" w:type="dxa"/>
          </w:tcPr>
          <w:p>
            <w:pPr>
              <w:spacing w:after="60"/>
            </w:pPr>
            <w:r/>
            <w:r>
              <w:rPr>
                <w:b w:val="0"/>
                <w:sz w:val="20"/>
              </w:rPr>
              <w:t>T-08</w:t>
            </w:r>
          </w:p>
        </w:tc>
        <w:tc>
          <w:tcPr>
            <w:tcW w:w="1417" w:type="dxa"/>
          </w:tcPr>
          <w:p>
            <w:pPr>
              <w:spacing w:after="60"/>
            </w:pPr>
            <w:r/>
            <w:r>
              <w:rPr>
                <w:b w:val="0"/>
                <w:sz w:val="20"/>
              </w:rPr>
              <w:t>P-08</w:t>
            </w:r>
          </w:p>
        </w:tc>
        <w:tc>
          <w:tcPr>
            <w:tcW w:w="6236" w:type="dxa"/>
          </w:tcPr>
          <w:p>
            <w:pPr>
              <w:spacing w:after="60"/>
            </w:pPr>
            <w:r/>
            <w:r>
              <w:rPr>
                <w:b w:val="0"/>
                <w:sz w:val="20"/>
              </w:rPr>
              <w:t>Animais perigosos: o operador pode ser uma sociedade, o titular não</w:t>
            </w:r>
          </w:p>
        </w:tc>
      </w:tr>
      <w:tr>
        <w:tc>
          <w:tcPr>
            <w:tcW w:w="1417" w:type="dxa"/>
          </w:tcPr>
          <w:p>
            <w:pPr>
              <w:spacing w:after="60"/>
            </w:pPr>
            <w:r/>
            <w:r>
              <w:rPr>
                <w:b w:val="0"/>
                <w:sz w:val="20"/>
              </w:rPr>
              <w:t>T-09</w:t>
            </w:r>
          </w:p>
        </w:tc>
        <w:tc>
          <w:tcPr>
            <w:tcW w:w="1417" w:type="dxa"/>
          </w:tcPr>
          <w:p>
            <w:pPr>
              <w:spacing w:after="60"/>
            </w:pPr>
            <w:r/>
            <w:r>
              <w:rPr>
                <w:b w:val="0"/>
                <w:sz w:val="20"/>
              </w:rPr>
              <w:t>P-09</w:t>
            </w:r>
          </w:p>
        </w:tc>
        <w:tc>
          <w:tcPr>
            <w:tcW w:w="6236" w:type="dxa"/>
          </w:tcPr>
          <w:p>
            <w:pPr>
              <w:spacing w:after="60"/>
            </w:pPr>
            <w:r/>
            <w:r>
              <w:rPr>
                <w:b w:val="0"/>
                <w:sz w:val="20"/>
              </w:rPr>
              <w:t>«Titular ou operador» quando o operador já é titular</w:t>
            </w:r>
          </w:p>
        </w:tc>
      </w:tr>
      <w:tr>
        <w:tc>
          <w:tcPr>
            <w:tcW w:w="1417" w:type="dxa"/>
          </w:tcPr>
          <w:p>
            <w:pPr>
              <w:spacing w:after="60"/>
            </w:pPr>
            <w:r/>
            <w:r>
              <w:rPr>
                <w:b w:val="0"/>
                <w:sz w:val="20"/>
              </w:rPr>
              <w:t>T-10</w:t>
            </w:r>
          </w:p>
        </w:tc>
        <w:tc>
          <w:tcPr>
            <w:tcW w:w="1417" w:type="dxa"/>
          </w:tcPr>
          <w:p>
            <w:pPr>
              <w:spacing w:after="60"/>
            </w:pPr>
            <w:r/>
            <w:r>
              <w:rPr>
                <w:b w:val="0"/>
                <w:sz w:val="20"/>
              </w:rPr>
              <w:t>P-10</w:t>
            </w:r>
          </w:p>
        </w:tc>
        <w:tc>
          <w:tcPr>
            <w:tcW w:w="6236" w:type="dxa"/>
          </w:tcPr>
          <w:p>
            <w:pPr>
              <w:spacing w:after="60"/>
            </w:pPr>
            <w:r/>
            <w:r>
              <w:rPr>
                <w:b w:val="0"/>
                <w:sz w:val="20"/>
              </w:rPr>
              <w:t>Terminologia do CRO ainda não uniforme</w:t>
            </w:r>
          </w:p>
        </w:tc>
      </w:tr>
      <w:tr>
        <w:tc>
          <w:tcPr>
            <w:tcW w:w="1417" w:type="dxa"/>
          </w:tcPr>
          <w:p>
            <w:pPr>
              <w:spacing w:after="60"/>
            </w:pPr>
            <w:r/>
            <w:r>
              <w:rPr>
                <w:b w:val="0"/>
                <w:sz w:val="20"/>
              </w:rPr>
              <w:t>T-11</w:t>
            </w:r>
          </w:p>
        </w:tc>
        <w:tc>
          <w:tcPr>
            <w:tcW w:w="1417" w:type="dxa"/>
          </w:tcPr>
          <w:p>
            <w:pPr>
              <w:spacing w:after="60"/>
            </w:pPr>
            <w:r/>
            <w:r>
              <w:rPr>
                <w:b w:val="0"/>
                <w:sz w:val="20"/>
              </w:rPr>
              <w:t>P-11</w:t>
            </w:r>
          </w:p>
        </w:tc>
        <w:tc>
          <w:tcPr>
            <w:tcW w:w="6236" w:type="dxa"/>
          </w:tcPr>
          <w:p>
            <w:pPr>
              <w:spacing w:after="60"/>
            </w:pPr>
            <w:r/>
            <w:r>
              <w:rPr>
                <w:b w:val="0"/>
                <w:sz w:val="20"/>
              </w:rPr>
              <w:t>Contraordenação dirigida só aos detentores</w:t>
            </w:r>
          </w:p>
        </w:tc>
      </w:tr>
      <w:tr>
        <w:tc>
          <w:tcPr>
            <w:tcW w:w="1417" w:type="dxa"/>
          </w:tcPr>
          <w:p>
            <w:pPr>
              <w:spacing w:after="60"/>
            </w:pPr>
            <w:r/>
            <w:r>
              <w:rPr>
                <w:b w:val="0"/>
                <w:sz w:val="20"/>
              </w:rPr>
              <w:t>T-12</w:t>
            </w:r>
          </w:p>
        </w:tc>
        <w:tc>
          <w:tcPr>
            <w:tcW w:w="1417" w:type="dxa"/>
          </w:tcPr>
          <w:p>
            <w:pPr>
              <w:spacing w:after="60"/>
            </w:pPr>
            <w:r/>
            <w:r>
              <w:rPr>
                <w:b w:val="0"/>
                <w:sz w:val="20"/>
              </w:rPr>
              <w:t>P-12</w:t>
            </w:r>
          </w:p>
        </w:tc>
        <w:tc>
          <w:tcPr>
            <w:tcW w:w="6236" w:type="dxa"/>
          </w:tcPr>
          <w:p>
            <w:pPr>
              <w:spacing w:after="60"/>
            </w:pPr>
            <w:r/>
            <w:r>
              <w:rPr>
                <w:b w:val="0"/>
                <w:sz w:val="20"/>
              </w:rPr>
              <w:t>Redação por decidir no art. 22.º</w:t>
            </w:r>
          </w:p>
        </w:tc>
      </w:tr>
      <w:tr>
        <w:tc>
          <w:tcPr>
            <w:tcW w:w="1417" w:type="dxa"/>
          </w:tcPr>
          <w:p>
            <w:pPr>
              <w:spacing w:after="60"/>
            </w:pPr>
            <w:r/>
            <w:r>
              <w:rPr>
                <w:b w:val="0"/>
                <w:sz w:val="20"/>
              </w:rPr>
              <w:t>T-13</w:t>
            </w:r>
          </w:p>
        </w:tc>
        <w:tc>
          <w:tcPr>
            <w:tcW w:w="1417" w:type="dxa"/>
          </w:tcPr>
          <w:p>
            <w:pPr>
              <w:spacing w:after="60"/>
            </w:pPr>
            <w:r/>
            <w:r>
              <w:rPr>
                <w:b w:val="0"/>
                <w:sz w:val="20"/>
              </w:rPr>
              <w:t>P-13</w:t>
            </w:r>
          </w:p>
        </w:tc>
        <w:tc>
          <w:tcPr>
            <w:tcW w:w="6236" w:type="dxa"/>
          </w:tcPr>
          <w:p>
            <w:pPr>
              <w:spacing w:after="60"/>
            </w:pPr>
            <w:r/>
            <w:r>
              <w:rPr>
                <w:b w:val="0"/>
                <w:sz w:val="20"/>
              </w:rPr>
              <w:t>Quem responde pelos danos causados pelo animal</w:t>
            </w:r>
          </w:p>
        </w:tc>
      </w:tr>
      <w:tr>
        <w:tc>
          <w:tcPr>
            <w:tcW w:w="1417" w:type="dxa"/>
          </w:tcPr>
          <w:p>
            <w:pPr>
              <w:spacing w:after="60"/>
            </w:pPr>
            <w:r/>
            <w:r>
              <w:rPr>
                <w:b w:val="0"/>
                <w:sz w:val="20"/>
              </w:rPr>
              <w:t>T-14</w:t>
            </w:r>
          </w:p>
        </w:tc>
        <w:tc>
          <w:tcPr>
            <w:tcW w:w="1417" w:type="dxa"/>
          </w:tcPr>
          <w:p>
            <w:pPr>
              <w:spacing w:after="60"/>
            </w:pPr>
            <w:r/>
            <w:r>
              <w:rPr>
                <w:b w:val="0"/>
                <w:sz w:val="20"/>
              </w:rPr>
              <w:t>P-14</w:t>
            </w:r>
          </w:p>
        </w:tc>
        <w:tc>
          <w:tcPr>
            <w:tcW w:w="6236" w:type="dxa"/>
          </w:tcPr>
          <w:p>
            <w:pPr>
              <w:spacing w:after="60"/>
            </w:pPr>
            <w:r/>
            <w:r>
              <w:rPr>
                <w:b w:val="0"/>
                <w:sz w:val="20"/>
              </w:rPr>
              <w:t>Família de acolhimento sem operador fica sem enquadramento</w:t>
            </w:r>
          </w:p>
        </w:tc>
      </w:tr>
      <w:tr>
        <w:tc>
          <w:tcPr>
            <w:tcW w:w="1417" w:type="dxa"/>
          </w:tcPr>
          <w:p>
            <w:pPr>
              <w:spacing w:after="60"/>
            </w:pPr>
            <w:r/>
            <w:r>
              <w:rPr>
                <w:b w:val="0"/>
                <w:sz w:val="20"/>
              </w:rPr>
              <w:t>T-15</w:t>
            </w:r>
          </w:p>
        </w:tc>
        <w:tc>
          <w:tcPr>
            <w:tcW w:w="1417" w:type="dxa"/>
          </w:tcPr>
          <w:p>
            <w:pPr>
              <w:spacing w:after="60"/>
            </w:pPr>
            <w:r/>
            <w:r>
              <w:rPr>
                <w:b w:val="0"/>
                <w:sz w:val="20"/>
              </w:rPr>
              <w:t>P-15</w:t>
            </w:r>
          </w:p>
        </w:tc>
        <w:tc>
          <w:tcPr>
            <w:tcW w:w="6236" w:type="dxa"/>
          </w:tcPr>
          <w:p>
            <w:pPr>
              <w:spacing w:after="60"/>
            </w:pPr>
            <w:r/>
            <w:r>
              <w:rPr>
                <w:b w:val="0"/>
                <w:sz w:val="20"/>
              </w:rPr>
              <w:t>Quem encontra um animal passa a poder ser punido</w:t>
            </w:r>
          </w:p>
        </w:tc>
      </w:tr>
      <w:tr>
        <w:tc>
          <w:tcPr>
            <w:tcW w:w="1417" w:type="dxa"/>
          </w:tcPr>
          <w:p>
            <w:pPr>
              <w:spacing w:after="60"/>
            </w:pPr>
            <w:r/>
            <w:r>
              <w:rPr>
                <w:b w:val="0"/>
                <w:sz w:val="20"/>
              </w:rPr>
              <w:t>T-16</w:t>
            </w:r>
          </w:p>
        </w:tc>
        <w:tc>
          <w:tcPr>
            <w:tcW w:w="1417" w:type="dxa"/>
          </w:tcPr>
          <w:p>
            <w:pPr>
              <w:spacing w:after="60"/>
            </w:pPr>
            <w:r/>
            <w:r>
              <w:rPr>
                <w:b w:val="0"/>
                <w:sz w:val="20"/>
              </w:rPr>
              <w:t>P-16</w:t>
            </w:r>
          </w:p>
        </w:tc>
        <w:tc>
          <w:tcPr>
            <w:tcW w:w="6236" w:type="dxa"/>
          </w:tcPr>
          <w:p>
            <w:pPr>
              <w:spacing w:after="60"/>
            </w:pPr>
            <w:r/>
            <w:r>
              <w:rPr>
                <w:b w:val="0"/>
                <w:sz w:val="20"/>
              </w:rPr>
              <w:t>Detentores de facto que dizem tratar de animais errantes</w:t>
            </w:r>
          </w:p>
        </w:tc>
      </w:tr>
      <w:tr>
        <w:tc>
          <w:tcPr>
            <w:tcW w:w="1417" w:type="dxa"/>
          </w:tcPr>
          <w:p>
            <w:pPr>
              <w:spacing w:after="60"/>
            </w:pPr>
            <w:r/>
            <w:r>
              <w:rPr>
                <w:b w:val="0"/>
                <w:sz w:val="20"/>
              </w:rPr>
              <w:t>T-17</w:t>
            </w:r>
          </w:p>
        </w:tc>
        <w:tc>
          <w:tcPr>
            <w:tcW w:w="1417" w:type="dxa"/>
          </w:tcPr>
          <w:p>
            <w:pPr>
              <w:spacing w:after="60"/>
            </w:pPr>
            <w:r/>
            <w:r>
              <w:rPr>
                <w:b w:val="0"/>
                <w:sz w:val="20"/>
              </w:rPr>
              <w:t>P-17</w:t>
            </w:r>
          </w:p>
        </w:tc>
        <w:tc>
          <w:tcPr>
            <w:tcW w:w="6236" w:type="dxa"/>
          </w:tcPr>
          <w:p>
            <w:pPr>
              <w:spacing w:after="60"/>
            </w:pPr>
            <w:r/>
            <w:r>
              <w:rPr>
                <w:b w:val="0"/>
                <w:sz w:val="20"/>
              </w:rPr>
              <w:t>Prazos de comunicação ao SIAC mais pesados do que o Regulamento europeu</w:t>
            </w:r>
          </w:p>
        </w:tc>
      </w:tr>
      <w:tr>
        <w:tc>
          <w:tcPr>
            <w:tcW w:w="1417" w:type="dxa"/>
          </w:tcPr>
          <w:p>
            <w:pPr>
              <w:spacing w:after="60"/>
            </w:pPr>
            <w:r/>
            <w:r>
              <w:rPr>
                <w:b w:val="0"/>
                <w:sz w:val="20"/>
              </w:rPr>
              <w:t>T-18</w:t>
            </w:r>
          </w:p>
        </w:tc>
        <w:tc>
          <w:tcPr>
            <w:tcW w:w="1417" w:type="dxa"/>
          </w:tcPr>
          <w:p>
            <w:pPr>
              <w:spacing w:after="60"/>
            </w:pPr>
            <w:r/>
            <w:r>
              <w:rPr>
                <w:b w:val="0"/>
                <w:sz w:val="20"/>
              </w:rPr>
              <w:t>P-18</w:t>
            </w:r>
          </w:p>
        </w:tc>
        <w:tc>
          <w:tcPr>
            <w:tcW w:w="6236" w:type="dxa"/>
          </w:tcPr>
          <w:p>
            <w:pPr>
              <w:spacing w:after="60"/>
            </w:pPr>
            <w:r/>
            <w:r>
              <w:rPr>
                <w:b w:val="0"/>
                <w:sz w:val="20"/>
              </w:rPr>
              <w:t>Animais deixados em centros veterinários</w:t>
            </w:r>
          </w:p>
        </w:tc>
      </w:tr>
      <w:tr>
        <w:tc>
          <w:tcPr>
            <w:tcW w:w="1417" w:type="dxa"/>
          </w:tcPr>
          <w:p>
            <w:pPr>
              <w:spacing w:after="60"/>
            </w:pPr>
            <w:r/>
            <w:r>
              <w:rPr>
                <w:b w:val="0"/>
                <w:sz w:val="20"/>
              </w:rPr>
              <w:t>T-19</w:t>
            </w:r>
          </w:p>
        </w:tc>
        <w:tc>
          <w:tcPr>
            <w:tcW w:w="1417" w:type="dxa"/>
          </w:tcPr>
          <w:p>
            <w:pPr>
              <w:spacing w:after="60"/>
            </w:pPr>
            <w:r/>
            <w:r>
              <w:rPr>
                <w:b w:val="0"/>
                <w:sz w:val="20"/>
              </w:rPr>
              <w:t>P-36</w:t>
            </w:r>
          </w:p>
        </w:tc>
        <w:tc>
          <w:tcPr>
            <w:tcW w:w="6236" w:type="dxa"/>
          </w:tcPr>
          <w:p>
            <w:pPr>
              <w:spacing w:after="60"/>
            </w:pPr>
            <w:r/>
            <w:r>
              <w:rPr>
                <w:b w:val="0"/>
                <w:sz w:val="20"/>
              </w:rPr>
              <w:t>Nada diz quem é titular quando o animal não tem proprietário</w:t>
            </w:r>
          </w:p>
        </w:tc>
      </w:tr>
      <w:tr>
        <w:tc>
          <w:tcPr>
            <w:tcW w:w="1417" w:type="dxa"/>
          </w:tcPr>
          <w:p>
            <w:pPr>
              <w:spacing w:after="60"/>
            </w:pPr>
            <w:r/>
            <w:r>
              <w:rPr>
                <w:b w:val="0"/>
                <w:sz w:val="20"/>
              </w:rPr>
              <w:t>C-01</w:t>
            </w:r>
          </w:p>
        </w:tc>
        <w:tc>
          <w:tcPr>
            <w:tcW w:w="1417" w:type="dxa"/>
          </w:tcPr>
          <w:p>
            <w:pPr>
              <w:spacing w:after="60"/>
            </w:pPr>
            <w:r/>
            <w:r>
              <w:rPr>
                <w:b w:val="0"/>
                <w:sz w:val="20"/>
              </w:rPr>
              <w:t>P-19</w:t>
            </w:r>
          </w:p>
        </w:tc>
        <w:tc>
          <w:tcPr>
            <w:tcW w:w="6236" w:type="dxa"/>
          </w:tcPr>
          <w:p>
            <w:pPr>
              <w:spacing w:after="60"/>
            </w:pPr>
            <w:r/>
            <w:r>
              <w:rPr>
                <w:b w:val="0"/>
                <w:sz w:val="20"/>
              </w:rPr>
              <w:t>O CED passa a ser só uma faculdade das câmaras</w:t>
            </w:r>
          </w:p>
        </w:tc>
      </w:tr>
      <w:tr>
        <w:tc>
          <w:tcPr>
            <w:tcW w:w="1417" w:type="dxa"/>
          </w:tcPr>
          <w:p>
            <w:pPr>
              <w:spacing w:after="60"/>
            </w:pPr>
            <w:r/>
            <w:r>
              <w:rPr>
                <w:b w:val="0"/>
                <w:sz w:val="20"/>
              </w:rPr>
              <w:t>C-02</w:t>
            </w:r>
          </w:p>
        </w:tc>
        <w:tc>
          <w:tcPr>
            <w:tcW w:w="1417" w:type="dxa"/>
          </w:tcPr>
          <w:p>
            <w:pPr>
              <w:spacing w:after="60"/>
            </w:pPr>
            <w:r/>
            <w:r>
              <w:rPr>
                <w:b w:val="0"/>
                <w:sz w:val="20"/>
              </w:rPr>
              <w:t>P-20</w:t>
            </w:r>
          </w:p>
        </w:tc>
        <w:tc>
          <w:tcPr>
            <w:tcW w:w="6236" w:type="dxa"/>
          </w:tcPr>
          <w:p>
            <w:pPr>
              <w:spacing w:after="60"/>
            </w:pPr>
            <w:r/>
            <w:r>
              <w:rPr>
                <w:b w:val="0"/>
                <w:sz w:val="20"/>
              </w:rPr>
              <w:t>O cuidador de colónia não existe no texto</w:t>
            </w:r>
          </w:p>
        </w:tc>
      </w:tr>
      <w:tr>
        <w:tc>
          <w:tcPr>
            <w:tcW w:w="1417" w:type="dxa"/>
          </w:tcPr>
          <w:p>
            <w:pPr>
              <w:spacing w:after="60"/>
            </w:pPr>
            <w:r/>
            <w:r>
              <w:rPr>
                <w:b w:val="0"/>
                <w:sz w:val="20"/>
              </w:rPr>
              <w:t>C-03</w:t>
            </w:r>
          </w:p>
        </w:tc>
        <w:tc>
          <w:tcPr>
            <w:tcW w:w="1417" w:type="dxa"/>
          </w:tcPr>
          <w:p>
            <w:pPr>
              <w:spacing w:after="60"/>
            </w:pPr>
            <w:r/>
            <w:r>
              <w:rPr>
                <w:b w:val="0"/>
                <w:sz w:val="20"/>
              </w:rPr>
              <w:t>P-21</w:t>
            </w:r>
          </w:p>
        </w:tc>
        <w:tc>
          <w:tcPr>
            <w:tcW w:w="6236" w:type="dxa"/>
          </w:tcPr>
          <w:p>
            <w:pPr>
              <w:spacing w:after="60"/>
            </w:pPr>
            <w:r/>
            <w:r>
              <w:rPr>
                <w:b w:val="0"/>
                <w:sz w:val="20"/>
              </w:rPr>
              <w:t>Proibição nacional de alimentar animais na via pública</w:t>
            </w:r>
          </w:p>
        </w:tc>
      </w:tr>
      <w:tr>
        <w:tc>
          <w:tcPr>
            <w:tcW w:w="1417" w:type="dxa"/>
          </w:tcPr>
          <w:p>
            <w:pPr>
              <w:spacing w:after="60"/>
            </w:pPr>
            <w:r/>
            <w:r>
              <w:rPr>
                <w:b w:val="0"/>
                <w:sz w:val="20"/>
              </w:rPr>
              <w:t>C-04</w:t>
            </w:r>
          </w:p>
        </w:tc>
        <w:tc>
          <w:tcPr>
            <w:tcW w:w="1417" w:type="dxa"/>
          </w:tcPr>
          <w:p>
            <w:pPr>
              <w:spacing w:after="60"/>
            </w:pPr>
            <w:r/>
            <w:r>
              <w:rPr>
                <w:b w:val="0"/>
                <w:sz w:val="20"/>
              </w:rPr>
              <w:t>P-22</w:t>
            </w:r>
          </w:p>
        </w:tc>
        <w:tc>
          <w:tcPr>
            <w:tcW w:w="6236" w:type="dxa"/>
          </w:tcPr>
          <w:p>
            <w:pPr>
              <w:spacing w:after="60"/>
            </w:pPr>
            <w:r/>
            <w:r>
              <w:rPr>
                <w:b w:val="0"/>
                <w:sz w:val="20"/>
              </w:rPr>
              <w:t>Só as câmaras podem capturar, mas o CED pode ser gerido por outras entidades</w:t>
            </w:r>
          </w:p>
        </w:tc>
      </w:tr>
      <w:tr>
        <w:tc>
          <w:tcPr>
            <w:tcW w:w="1417" w:type="dxa"/>
          </w:tcPr>
          <w:p>
            <w:pPr>
              <w:spacing w:after="60"/>
            </w:pPr>
            <w:r/>
            <w:r>
              <w:rPr>
                <w:b w:val="0"/>
                <w:sz w:val="20"/>
              </w:rPr>
              <w:t>C-05</w:t>
            </w:r>
          </w:p>
        </w:tc>
        <w:tc>
          <w:tcPr>
            <w:tcW w:w="1417" w:type="dxa"/>
          </w:tcPr>
          <w:p>
            <w:pPr>
              <w:spacing w:after="60"/>
            </w:pPr>
            <w:r/>
            <w:r>
              <w:rPr>
                <w:b w:val="0"/>
                <w:sz w:val="20"/>
              </w:rPr>
              <w:t>P-23</w:t>
            </w:r>
          </w:p>
        </w:tc>
        <w:tc>
          <w:tcPr>
            <w:tcW w:w="6236" w:type="dxa"/>
          </w:tcPr>
          <w:p>
            <w:pPr>
              <w:spacing w:after="60"/>
            </w:pPr>
            <w:r/>
            <w:r>
              <w:rPr>
                <w:b w:val="0"/>
                <w:sz w:val="20"/>
              </w:rPr>
              <w:t>Passagem obrigatória pelo CRO antes de o gato entrar na colónia</w:t>
            </w:r>
          </w:p>
        </w:tc>
      </w:tr>
      <w:tr>
        <w:tc>
          <w:tcPr>
            <w:tcW w:w="1417" w:type="dxa"/>
          </w:tcPr>
          <w:p>
            <w:pPr>
              <w:spacing w:after="60"/>
            </w:pPr>
            <w:r/>
            <w:r>
              <w:rPr>
                <w:b w:val="0"/>
                <w:sz w:val="20"/>
              </w:rPr>
              <w:t>C-06</w:t>
            </w:r>
          </w:p>
        </w:tc>
        <w:tc>
          <w:tcPr>
            <w:tcW w:w="1417" w:type="dxa"/>
          </w:tcPr>
          <w:p>
            <w:pPr>
              <w:spacing w:after="60"/>
            </w:pPr>
            <w:r/>
            <w:r>
              <w:rPr>
                <w:b w:val="0"/>
                <w:sz w:val="20"/>
              </w:rPr>
              <w:t>P-24</w:t>
            </w:r>
          </w:p>
        </w:tc>
        <w:tc>
          <w:tcPr>
            <w:tcW w:w="6236" w:type="dxa"/>
          </w:tcPr>
          <w:p>
            <w:pPr>
              <w:spacing w:after="60"/>
            </w:pPr>
            <w:r/>
            <w:r>
              <w:rPr>
                <w:b w:val="0"/>
                <w:sz w:val="20"/>
              </w:rPr>
              <w:t>Exclusão dos cães do CED</w:t>
            </w:r>
          </w:p>
        </w:tc>
      </w:tr>
      <w:tr>
        <w:tc>
          <w:tcPr>
            <w:tcW w:w="1417" w:type="dxa"/>
          </w:tcPr>
          <w:p>
            <w:pPr>
              <w:spacing w:after="60"/>
            </w:pPr>
            <w:r/>
            <w:r>
              <w:rPr>
                <w:b w:val="0"/>
                <w:sz w:val="20"/>
              </w:rPr>
              <w:t>C-07</w:t>
            </w:r>
          </w:p>
        </w:tc>
        <w:tc>
          <w:tcPr>
            <w:tcW w:w="1417" w:type="dxa"/>
          </w:tcPr>
          <w:p>
            <w:pPr>
              <w:spacing w:after="60"/>
            </w:pPr>
            <w:r/>
            <w:r>
              <w:rPr>
                <w:b w:val="0"/>
                <w:sz w:val="20"/>
              </w:rPr>
              <w:t>P-25</w:t>
            </w:r>
          </w:p>
        </w:tc>
        <w:tc>
          <w:tcPr>
            <w:tcW w:w="6236" w:type="dxa"/>
          </w:tcPr>
          <w:p>
            <w:pPr>
              <w:spacing w:after="60"/>
            </w:pPr>
            <w:r/>
            <w:r>
              <w:rPr>
                <w:b w:val="0"/>
                <w:sz w:val="20"/>
              </w:rPr>
              <w:t>Remissões e numeração erradas no artigo do CED</w:t>
            </w:r>
          </w:p>
        </w:tc>
      </w:tr>
      <w:tr>
        <w:tc>
          <w:tcPr>
            <w:tcW w:w="1417" w:type="dxa"/>
          </w:tcPr>
          <w:p>
            <w:pPr>
              <w:spacing w:after="60"/>
            </w:pPr>
            <w:r/>
            <w:r>
              <w:rPr>
                <w:b w:val="0"/>
                <w:sz w:val="20"/>
              </w:rPr>
              <w:t>C-08</w:t>
            </w:r>
          </w:p>
        </w:tc>
        <w:tc>
          <w:tcPr>
            <w:tcW w:w="1417" w:type="dxa"/>
          </w:tcPr>
          <w:p>
            <w:pPr>
              <w:spacing w:after="60"/>
            </w:pPr>
            <w:r/>
            <w:r>
              <w:rPr>
                <w:b w:val="0"/>
                <w:sz w:val="20"/>
              </w:rPr>
              <w:t>P-26</w:t>
            </w:r>
          </w:p>
        </w:tc>
        <w:tc>
          <w:tcPr>
            <w:tcW w:w="6236" w:type="dxa"/>
          </w:tcPr>
          <w:p>
            <w:pPr>
              <w:spacing w:after="60"/>
            </w:pPr>
            <w:r/>
            <w:r>
              <w:rPr>
                <w:b w:val="0"/>
                <w:sz w:val="20"/>
              </w:rPr>
              <w:t>Entidade promotora, entidade responsável e titular: quem responde pela colónia</w:t>
            </w:r>
          </w:p>
        </w:tc>
      </w:tr>
      <w:tr>
        <w:tc>
          <w:tcPr>
            <w:tcW w:w="1417" w:type="dxa"/>
          </w:tcPr>
          <w:p>
            <w:pPr>
              <w:spacing w:after="60"/>
            </w:pPr>
            <w:r/>
            <w:r>
              <w:rPr>
                <w:b w:val="0"/>
                <w:sz w:val="20"/>
              </w:rPr>
              <w:t>C-09</w:t>
            </w:r>
          </w:p>
        </w:tc>
        <w:tc>
          <w:tcPr>
            <w:tcW w:w="1417" w:type="dxa"/>
          </w:tcPr>
          <w:p>
            <w:pPr>
              <w:spacing w:after="60"/>
            </w:pPr>
            <w:r/>
            <w:r>
              <w:rPr>
                <w:b w:val="0"/>
                <w:sz w:val="20"/>
              </w:rPr>
              <w:t>P-27</w:t>
            </w:r>
          </w:p>
        </w:tc>
        <w:tc>
          <w:tcPr>
            <w:tcW w:w="6236" w:type="dxa"/>
          </w:tcPr>
          <w:p>
            <w:pPr>
              <w:spacing w:after="60"/>
            </w:pPr>
            <w:r/>
            <w:r>
              <w:rPr>
                <w:b w:val="0"/>
                <w:sz w:val="20"/>
              </w:rPr>
              <w:t>Registo da colónia no SIAC sem conteúdo definido</w:t>
            </w:r>
          </w:p>
        </w:tc>
      </w:tr>
      <w:tr>
        <w:tc>
          <w:tcPr>
            <w:tcW w:w="1417" w:type="dxa"/>
          </w:tcPr>
          <w:p>
            <w:pPr>
              <w:spacing w:after="60"/>
            </w:pPr>
            <w:r/>
            <w:r>
              <w:rPr>
                <w:b w:val="0"/>
                <w:sz w:val="20"/>
              </w:rPr>
              <w:t>C-10</w:t>
            </w:r>
          </w:p>
        </w:tc>
        <w:tc>
          <w:tcPr>
            <w:tcW w:w="1417" w:type="dxa"/>
          </w:tcPr>
          <w:p>
            <w:pPr>
              <w:spacing w:after="60"/>
            </w:pPr>
            <w:r/>
            <w:r>
              <w:rPr>
                <w:b w:val="0"/>
                <w:sz w:val="20"/>
              </w:rPr>
              <w:t>P-28</w:t>
            </w:r>
          </w:p>
        </w:tc>
        <w:tc>
          <w:tcPr>
            <w:tcW w:w="6236" w:type="dxa"/>
          </w:tcPr>
          <w:p>
            <w:pPr>
              <w:spacing w:after="60"/>
            </w:pPr>
            <w:r/>
            <w:r>
              <w:rPr>
                <w:b w:val="0"/>
                <w:sz w:val="20"/>
              </w:rPr>
              <w:t>Colónias em prédios privados</w:t>
            </w:r>
          </w:p>
        </w:tc>
      </w:tr>
      <w:tr>
        <w:tc>
          <w:tcPr>
            <w:tcW w:w="1417" w:type="dxa"/>
          </w:tcPr>
          <w:p>
            <w:pPr>
              <w:spacing w:after="60"/>
            </w:pPr>
            <w:r/>
            <w:r>
              <w:rPr>
                <w:b w:val="0"/>
                <w:sz w:val="20"/>
              </w:rPr>
              <w:t>C-11</w:t>
            </w:r>
          </w:p>
        </w:tc>
        <w:tc>
          <w:tcPr>
            <w:tcW w:w="1417" w:type="dxa"/>
          </w:tcPr>
          <w:p>
            <w:pPr>
              <w:spacing w:after="60"/>
            </w:pPr>
            <w:r/>
            <w:r>
              <w:rPr>
                <w:b w:val="0"/>
                <w:sz w:val="20"/>
              </w:rPr>
              <w:t>P-29</w:t>
            </w:r>
          </w:p>
        </w:tc>
        <w:tc>
          <w:tcPr>
            <w:tcW w:w="6236" w:type="dxa"/>
          </w:tcPr>
          <w:p>
            <w:pPr>
              <w:spacing w:after="60"/>
            </w:pPr>
            <w:r/>
            <w:r>
              <w:rPr>
                <w:b w:val="0"/>
                <w:sz w:val="20"/>
              </w:rPr>
              <w:t>CED e conservação da natureza</w:t>
            </w:r>
          </w:p>
        </w:tc>
      </w:tr>
      <w:tr>
        <w:tc>
          <w:tcPr>
            <w:tcW w:w="1417" w:type="dxa"/>
          </w:tcPr>
          <w:p>
            <w:pPr>
              <w:spacing w:after="60"/>
            </w:pPr>
            <w:r/>
            <w:r>
              <w:rPr>
                <w:b w:val="0"/>
                <w:sz w:val="20"/>
              </w:rPr>
              <w:t>C-12</w:t>
            </w:r>
          </w:p>
        </w:tc>
        <w:tc>
          <w:tcPr>
            <w:tcW w:w="1417" w:type="dxa"/>
          </w:tcPr>
          <w:p>
            <w:pPr>
              <w:spacing w:after="60"/>
            </w:pPr>
            <w:r/>
            <w:r>
              <w:rPr>
                <w:b w:val="0"/>
                <w:sz w:val="20"/>
              </w:rPr>
              <w:t>P-30</w:t>
            </w:r>
          </w:p>
        </w:tc>
        <w:tc>
          <w:tcPr>
            <w:tcW w:w="6236" w:type="dxa"/>
          </w:tcPr>
          <w:p>
            <w:pPr>
              <w:spacing w:after="60"/>
            </w:pPr>
            <w:r/>
            <w:r>
              <w:rPr>
                <w:b w:val="0"/>
                <w:sz w:val="20"/>
              </w:rPr>
              <w:t>Gatos de colónia em infração permanente</w:t>
            </w:r>
          </w:p>
        </w:tc>
      </w:tr>
      <w:tr>
        <w:tc>
          <w:tcPr>
            <w:tcW w:w="1417" w:type="dxa"/>
          </w:tcPr>
          <w:p>
            <w:pPr>
              <w:spacing w:after="60"/>
            </w:pPr>
            <w:r/>
            <w:r>
              <w:rPr>
                <w:b w:val="0"/>
                <w:sz w:val="20"/>
              </w:rPr>
              <w:t>C-13</w:t>
            </w:r>
          </w:p>
        </w:tc>
        <w:tc>
          <w:tcPr>
            <w:tcW w:w="1417" w:type="dxa"/>
          </w:tcPr>
          <w:p>
            <w:pPr>
              <w:spacing w:after="60"/>
            </w:pPr>
            <w:r/>
            <w:r>
              <w:rPr>
                <w:b w:val="0"/>
                <w:sz w:val="20"/>
              </w:rPr>
              <w:t>P-31</w:t>
            </w:r>
          </w:p>
        </w:tc>
        <w:tc>
          <w:tcPr>
            <w:tcW w:w="6236" w:type="dxa"/>
          </w:tcPr>
          <w:p>
            <w:pPr>
              <w:spacing w:after="60"/>
            </w:pPr>
            <w:r/>
            <w:r>
              <w:rPr>
                <w:b w:val="0"/>
                <w:sz w:val="20"/>
              </w:rPr>
              <w:t>Crias e gatos sociáveis: retirar ou devolver</w:t>
            </w:r>
          </w:p>
        </w:tc>
      </w:tr>
      <w:tr>
        <w:tc>
          <w:tcPr>
            <w:tcW w:w="1417" w:type="dxa"/>
          </w:tcPr>
          <w:p>
            <w:pPr>
              <w:spacing w:after="60"/>
            </w:pPr>
            <w:r/>
            <w:r>
              <w:rPr>
                <w:b w:val="0"/>
                <w:sz w:val="20"/>
              </w:rPr>
              <w:t>C-14</w:t>
            </w:r>
          </w:p>
        </w:tc>
        <w:tc>
          <w:tcPr>
            <w:tcW w:w="1417" w:type="dxa"/>
          </w:tcPr>
          <w:p>
            <w:pPr>
              <w:spacing w:after="60"/>
            </w:pPr>
            <w:r/>
            <w:r>
              <w:rPr>
                <w:b w:val="0"/>
                <w:sz w:val="20"/>
              </w:rPr>
              <w:t>P-32</w:t>
            </w:r>
          </w:p>
        </w:tc>
        <w:tc>
          <w:tcPr>
            <w:tcW w:w="6236" w:type="dxa"/>
          </w:tcPr>
          <w:p>
            <w:pPr>
              <w:spacing w:after="60"/>
            </w:pPr>
            <w:r/>
            <w:r>
              <w:rPr>
                <w:b w:val="0"/>
                <w:sz w:val="20"/>
              </w:rPr>
              <w:t>Suspensão do programa e recolha dos gatos sem garantias</w:t>
            </w:r>
          </w:p>
        </w:tc>
      </w:tr>
      <w:tr>
        <w:tc>
          <w:tcPr>
            <w:tcW w:w="1417" w:type="dxa"/>
          </w:tcPr>
          <w:p>
            <w:pPr>
              <w:spacing w:after="60"/>
            </w:pPr>
            <w:r/>
            <w:r>
              <w:rPr>
                <w:b w:val="0"/>
                <w:sz w:val="20"/>
              </w:rPr>
              <w:t>C-15</w:t>
            </w:r>
          </w:p>
        </w:tc>
        <w:tc>
          <w:tcPr>
            <w:tcW w:w="1417" w:type="dxa"/>
          </w:tcPr>
          <w:p>
            <w:pPr>
              <w:spacing w:after="60"/>
            </w:pPr>
            <w:r/>
            <w:r>
              <w:rPr>
                <w:b w:val="0"/>
                <w:sz w:val="20"/>
              </w:rPr>
              <w:t>P-33</w:t>
            </w:r>
          </w:p>
        </w:tc>
        <w:tc>
          <w:tcPr>
            <w:tcW w:w="6236" w:type="dxa"/>
          </w:tcPr>
          <w:p>
            <w:pPr>
              <w:spacing w:after="60"/>
            </w:pPr>
            <w:r/>
            <w:r>
              <w:rPr>
                <w:b w:val="0"/>
                <w:sz w:val="20"/>
              </w:rPr>
              <w:t>Meios: médicos veterinários municipais e financiamento</w:t>
            </w:r>
          </w:p>
        </w:tc>
      </w:tr>
      <w:tr>
        <w:tc>
          <w:tcPr>
            <w:tcW w:w="1417" w:type="dxa"/>
          </w:tcPr>
          <w:p>
            <w:pPr>
              <w:spacing w:after="60"/>
            </w:pPr>
            <w:r/>
            <w:r>
              <w:rPr>
                <w:b w:val="0"/>
                <w:sz w:val="20"/>
              </w:rPr>
              <w:t>C-16</w:t>
            </w:r>
          </w:p>
        </w:tc>
        <w:tc>
          <w:tcPr>
            <w:tcW w:w="1417" w:type="dxa"/>
          </w:tcPr>
          <w:p>
            <w:pPr>
              <w:spacing w:after="60"/>
            </w:pPr>
            <w:r/>
            <w:r>
              <w:rPr>
                <w:b w:val="0"/>
                <w:sz w:val="20"/>
              </w:rPr>
              <w:t>P-34</w:t>
            </w:r>
          </w:p>
        </w:tc>
        <w:tc>
          <w:tcPr>
            <w:tcW w:w="6236" w:type="dxa"/>
          </w:tcPr>
          <w:p>
            <w:pPr>
              <w:spacing w:after="60"/>
            </w:pPr>
            <w:r/>
            <w:r>
              <w:rPr>
                <w:b w:val="0"/>
                <w:sz w:val="20"/>
              </w:rPr>
              <w:t>Conflito com vizinhos e dimensão da colónia</w:t>
            </w:r>
          </w:p>
        </w:tc>
      </w:tr>
      <w:tr>
        <w:tc>
          <w:tcPr>
            <w:tcW w:w="1417" w:type="dxa"/>
          </w:tcPr>
          <w:p>
            <w:pPr>
              <w:spacing w:after="60"/>
            </w:pPr>
            <w:r/>
            <w:r>
              <w:rPr>
                <w:b w:val="0"/>
                <w:sz w:val="20"/>
              </w:rPr>
              <w:t>C-17</w:t>
            </w:r>
          </w:p>
        </w:tc>
        <w:tc>
          <w:tcPr>
            <w:tcW w:w="1417" w:type="dxa"/>
          </w:tcPr>
          <w:p>
            <w:pPr>
              <w:spacing w:after="60"/>
            </w:pPr>
            <w:r/>
            <w:r>
              <w:rPr>
                <w:b w:val="0"/>
                <w:sz w:val="20"/>
              </w:rPr>
              <w:t>P-35</w:t>
            </w:r>
          </w:p>
        </w:tc>
        <w:tc>
          <w:tcPr>
            <w:tcW w:w="6236" w:type="dxa"/>
          </w:tcPr>
          <w:p>
            <w:pPr>
              <w:spacing w:after="60"/>
            </w:pPr>
            <w:r/>
            <w:r>
              <w:rPr>
                <w:b w:val="0"/>
                <w:sz w:val="20"/>
              </w:rPr>
              <w:t>Plano municipal de controlo de errantes sem conteúdo mínimo nem consequências</w:t>
            </w:r>
          </w:p>
        </w:tc>
      </w:tr>
      <w:tr>
        <w:tc>
          <w:tcPr>
            <w:tcW w:w="1417" w:type="dxa"/>
          </w:tcPr>
          <w:p>
            <w:pPr>
              <w:spacing w:after="60"/>
            </w:pPr>
            <w:r/>
            <w:r>
              <w:rPr>
                <w:b w:val="0"/>
                <w:sz w:val="20"/>
              </w:rPr>
              <w:t>T-20</w:t>
            </w:r>
          </w:p>
        </w:tc>
        <w:tc>
          <w:tcPr>
            <w:tcW w:w="1417" w:type="dxa"/>
          </w:tcPr>
          <w:p>
            <w:pPr>
              <w:spacing w:after="60"/>
            </w:pPr>
            <w:r/>
            <w:r>
              <w:rPr>
                <w:b w:val="0"/>
                <w:sz w:val="20"/>
              </w:rPr>
              <w:t>P-37</w:t>
            </w:r>
          </w:p>
        </w:tc>
        <w:tc>
          <w:tcPr>
            <w:tcW w:w="6236" w:type="dxa"/>
          </w:tcPr>
          <w:p>
            <w:pPr>
              <w:spacing w:after="60"/>
            </w:pPr>
            <w:r/>
            <w:r>
              <w:rPr>
                <w:b w:val="0"/>
                <w:sz w:val="20"/>
              </w:rPr>
              <w:t>Quem acolhe um animal errante pode ficar sem saída lícita</w:t>
            </w:r>
          </w:p>
        </w:tc>
      </w:tr>
      <w:tr>
        <w:tc>
          <w:tcPr>
            <w:tcW w:w="1417" w:type="dxa"/>
          </w:tcPr>
          <w:p>
            <w:pPr>
              <w:spacing w:after="60"/>
            </w:pPr>
            <w:r/>
            <w:r>
              <w:rPr>
                <w:b w:val="0"/>
                <w:sz w:val="20"/>
              </w:rPr>
              <w:t>C-18</w:t>
            </w:r>
          </w:p>
        </w:tc>
        <w:tc>
          <w:tcPr>
            <w:tcW w:w="1417" w:type="dxa"/>
          </w:tcPr>
          <w:p>
            <w:pPr>
              <w:spacing w:after="60"/>
            </w:pPr>
            <w:r/>
            <w:r>
              <w:rPr>
                <w:b w:val="0"/>
                <w:sz w:val="20"/>
              </w:rPr>
              <w:t>P-38</w:t>
            </w:r>
          </w:p>
        </w:tc>
        <w:tc>
          <w:tcPr>
            <w:tcW w:w="6236" w:type="dxa"/>
          </w:tcPr>
          <w:p>
            <w:pPr>
              <w:spacing w:after="60"/>
            </w:pPr>
            <w:r/>
            <w:r>
              <w:rPr>
                <w:b w:val="0"/>
                <w:sz w:val="20"/>
              </w:rPr>
              <w:t>A definição de animal errante passa a abranger qualquer animal não identificado</w:t>
            </w:r>
          </w:p>
        </w:tc>
      </w:tr>
      <w:tr>
        <w:tc>
          <w:tcPr>
            <w:tcW w:w="1417" w:type="dxa"/>
          </w:tcPr>
          <w:p>
            <w:pPr>
              <w:spacing w:after="60"/>
            </w:pPr>
            <w:r/>
            <w:r>
              <w:rPr>
                <w:b w:val="0"/>
                <w:sz w:val="20"/>
              </w:rPr>
              <w:t>C-19</w:t>
            </w:r>
          </w:p>
        </w:tc>
        <w:tc>
          <w:tcPr>
            <w:tcW w:w="1417" w:type="dxa"/>
          </w:tcPr>
          <w:p>
            <w:pPr>
              <w:spacing w:after="60"/>
            </w:pPr>
            <w:r/>
            <w:r>
              <w:rPr>
                <w:b w:val="0"/>
                <w:sz w:val="20"/>
              </w:rPr>
              <w:t>P-39</w:t>
            </w:r>
          </w:p>
        </w:tc>
        <w:tc>
          <w:tcPr>
            <w:tcW w:w="6236" w:type="dxa"/>
          </w:tcPr>
          <w:p>
            <w:pPr>
              <w:spacing w:after="60"/>
            </w:pPr>
            <w:r/>
            <w:r>
              <w:rPr>
                <w:b w:val="0"/>
                <w:sz w:val="20"/>
              </w:rPr>
              <w:t>A Lei 75/2013 ainda atribui às câmaras o abate de canídeos e gatídeos</w:t>
            </w:r>
          </w:p>
        </w:tc>
      </w:tr>
      <w:tr>
        <w:tc>
          <w:tcPr>
            <w:tcW w:w="1417" w:type="dxa"/>
          </w:tcPr>
          <w:p>
            <w:pPr>
              <w:spacing w:after="60"/>
            </w:pPr>
            <w:r/>
            <w:r>
              <w:rPr>
                <w:b w:val="0"/>
                <w:sz w:val="20"/>
              </w:rPr>
              <w:t>P-01</w:t>
            </w:r>
          </w:p>
        </w:tc>
        <w:tc>
          <w:tcPr>
            <w:tcW w:w="1417" w:type="dxa"/>
          </w:tcPr>
          <w:p>
            <w:pPr>
              <w:spacing w:after="60"/>
            </w:pPr>
            <w:r/>
            <w:r>
              <w:rPr>
                <w:b w:val="0"/>
                <w:sz w:val="20"/>
              </w:rPr>
              <w:t>P-40</w:t>
            </w:r>
          </w:p>
        </w:tc>
        <w:tc>
          <w:tcPr>
            <w:tcW w:w="6236" w:type="dxa"/>
          </w:tcPr>
          <w:p>
            <w:pPr>
              <w:spacing w:after="60"/>
            </w:pPr>
            <w:r/>
            <w:r>
              <w:rPr>
                <w:b w:val="0"/>
                <w:sz w:val="20"/>
              </w:rPr>
              <w:t>A amarração no domicílio fica sem duração máxima nem requisitos verificáveis</w:t>
            </w:r>
          </w:p>
        </w:tc>
      </w:tr>
      <w:tr>
        <w:tc>
          <w:tcPr>
            <w:tcW w:w="1417" w:type="dxa"/>
          </w:tcPr>
          <w:p>
            <w:pPr>
              <w:spacing w:after="60"/>
            </w:pPr>
            <w:r/>
            <w:r>
              <w:rPr>
                <w:b w:val="0"/>
                <w:sz w:val="20"/>
              </w:rPr>
              <w:t>A-01</w:t>
            </w:r>
          </w:p>
        </w:tc>
        <w:tc>
          <w:tcPr>
            <w:tcW w:w="1417" w:type="dxa"/>
          </w:tcPr>
          <w:p>
            <w:pPr>
              <w:spacing w:after="60"/>
            </w:pPr>
            <w:r/>
            <w:r>
              <w:rPr>
                <w:b w:val="0"/>
                <w:sz w:val="20"/>
              </w:rPr>
              <w:t>P-41</w:t>
            </w:r>
          </w:p>
        </w:tc>
        <w:tc>
          <w:tcPr>
            <w:tcW w:w="6236" w:type="dxa"/>
          </w:tcPr>
          <w:p>
            <w:pPr>
              <w:spacing w:after="60"/>
            </w:pPr>
            <w:r/>
            <w:r>
              <w:rPr>
                <w:b w:val="0"/>
                <w:sz w:val="20"/>
              </w:rPr>
              <w:t>Duas normas diferentes sobre que espécies são animais de companhia</w:t>
            </w:r>
          </w:p>
        </w:tc>
      </w:tr>
      <w:tr>
        <w:tc>
          <w:tcPr>
            <w:tcW w:w="1417" w:type="dxa"/>
          </w:tcPr>
          <w:p>
            <w:pPr>
              <w:spacing w:after="60"/>
            </w:pPr>
            <w:r/>
            <w:r>
              <w:rPr>
                <w:b w:val="0"/>
                <w:sz w:val="20"/>
              </w:rPr>
              <w:t>S-01</w:t>
            </w:r>
          </w:p>
        </w:tc>
        <w:tc>
          <w:tcPr>
            <w:tcW w:w="1417" w:type="dxa"/>
          </w:tcPr>
          <w:p>
            <w:pPr>
              <w:spacing w:after="60"/>
            </w:pPr>
            <w:r/>
            <w:r>
              <w:rPr>
                <w:b w:val="0"/>
                <w:sz w:val="20"/>
              </w:rPr>
              <w:t>P-42</w:t>
            </w:r>
          </w:p>
        </w:tc>
        <w:tc>
          <w:tcPr>
            <w:tcW w:w="6236" w:type="dxa"/>
          </w:tcPr>
          <w:p>
            <w:pPr>
              <w:spacing w:after="60"/>
            </w:pPr>
            <w:r/>
            <w:r>
              <w:rPr>
                <w:b w:val="0"/>
                <w:sz w:val="20"/>
              </w:rPr>
              <w:t>Os deveres dos CRO e o relatório anual ficam sem coima</w:t>
            </w:r>
          </w:p>
        </w:tc>
      </w:tr>
      <w:tr>
        <w:tc>
          <w:tcPr>
            <w:tcW w:w="1417" w:type="dxa"/>
          </w:tcPr>
          <w:p>
            <w:pPr>
              <w:spacing w:after="60"/>
            </w:pPr>
            <w:r/>
            <w:r>
              <w:rPr>
                <w:b w:val="0"/>
                <w:sz w:val="20"/>
              </w:rPr>
              <w:t>F-01</w:t>
            </w:r>
          </w:p>
        </w:tc>
        <w:tc>
          <w:tcPr>
            <w:tcW w:w="1417" w:type="dxa"/>
          </w:tcPr>
          <w:p>
            <w:pPr>
              <w:spacing w:after="60"/>
            </w:pPr>
            <w:r/>
            <w:r>
              <w:rPr>
                <w:b w:val="0"/>
                <w:sz w:val="20"/>
              </w:rPr>
              <w:t>P-43</w:t>
            </w:r>
          </w:p>
        </w:tc>
        <w:tc>
          <w:tcPr>
            <w:tcW w:w="6236" w:type="dxa"/>
          </w:tcPr>
          <w:p>
            <w:pPr>
              <w:spacing w:after="60"/>
            </w:pPr>
            <w:r/>
            <w:r>
              <w:rPr>
                <w:b w:val="0"/>
                <w:sz w:val="20"/>
              </w:rPr>
              <w:t>A revogação total da Lei 92/95 apaga normas que não tratam de animais de companhia</w:t>
            </w:r>
          </w:p>
        </w:tc>
      </w:tr>
      <w:tr>
        <w:tc>
          <w:tcPr>
            <w:tcW w:w="1417" w:type="dxa"/>
          </w:tcPr>
          <w:p>
            <w:pPr>
              <w:spacing w:after="60"/>
            </w:pPr>
            <w:r/>
            <w:r>
              <w:rPr>
                <w:b w:val="0"/>
                <w:sz w:val="20"/>
              </w:rPr>
              <w:t>F-02</w:t>
            </w:r>
          </w:p>
        </w:tc>
        <w:tc>
          <w:tcPr>
            <w:tcW w:w="1417" w:type="dxa"/>
          </w:tcPr>
          <w:p>
            <w:pPr>
              <w:spacing w:after="60"/>
            </w:pPr>
            <w:r/>
            <w:r>
              <w:rPr>
                <w:b w:val="0"/>
                <w:sz w:val="20"/>
              </w:rPr>
              <w:t>P-44</w:t>
            </w:r>
          </w:p>
        </w:tc>
        <w:tc>
          <w:tcPr>
            <w:tcW w:w="6236" w:type="dxa"/>
          </w:tcPr>
          <w:p>
            <w:pPr>
              <w:spacing w:after="60"/>
            </w:pPr>
            <w:r/>
            <w:r>
              <w:rPr>
                <w:b w:val="0"/>
                <w:sz w:val="20"/>
              </w:rPr>
              <w:t>O DL 74/2007 é ressalvado e revogado ao mesmo tempo</w:t>
            </w:r>
          </w:p>
        </w:tc>
      </w:tr>
      <w:tr>
        <w:tc>
          <w:tcPr>
            <w:tcW w:w="1417" w:type="dxa"/>
          </w:tcPr>
          <w:p>
            <w:pPr>
              <w:spacing w:after="60"/>
            </w:pPr>
            <w:r/>
            <w:r>
              <w:rPr>
                <w:b w:val="0"/>
                <w:sz w:val="20"/>
              </w:rPr>
              <w:t>G-01</w:t>
            </w:r>
          </w:p>
        </w:tc>
        <w:tc>
          <w:tcPr>
            <w:tcW w:w="1417" w:type="dxa"/>
          </w:tcPr>
          <w:p>
            <w:pPr>
              <w:spacing w:after="60"/>
            </w:pPr>
            <w:r/>
            <w:r>
              <w:rPr>
                <w:b w:val="0"/>
                <w:sz w:val="20"/>
              </w:rPr>
              <w:t>P-45</w:t>
            </w:r>
          </w:p>
        </w:tc>
        <w:tc>
          <w:tcPr>
            <w:tcW w:w="6236" w:type="dxa"/>
          </w:tcPr>
          <w:p>
            <w:pPr>
              <w:spacing w:after="60"/>
            </w:pPr>
            <w:r/>
            <w:r>
              <w:rPr>
                <w:b w:val="0"/>
                <w:sz w:val="20"/>
              </w:rPr>
              <w:t>A recolha por razões de bem-estar passa da DGAV para as câmaras e o destino para o médico veterinário municipal</w:t>
            </w:r>
          </w:p>
        </w:tc>
      </w:tr>
      <w:tr>
        <w:tc>
          <w:tcPr>
            <w:tcW w:w="1417" w:type="dxa"/>
          </w:tcPr>
          <w:p>
            <w:pPr>
              <w:spacing w:after="60"/>
            </w:pPr>
            <w:r/>
            <w:r>
              <w:rPr>
                <w:b w:val="0"/>
                <w:sz w:val="20"/>
              </w:rPr>
              <w:t>G-02</w:t>
            </w:r>
          </w:p>
        </w:tc>
        <w:tc>
          <w:tcPr>
            <w:tcW w:w="1417" w:type="dxa"/>
          </w:tcPr>
          <w:p>
            <w:pPr>
              <w:spacing w:after="60"/>
            </w:pPr>
            <w:r/>
            <w:r>
              <w:rPr>
                <w:b w:val="0"/>
                <w:sz w:val="20"/>
              </w:rPr>
              <w:t>P-46</w:t>
            </w:r>
          </w:p>
        </w:tc>
        <w:tc>
          <w:tcPr>
            <w:tcW w:w="6236" w:type="dxa"/>
          </w:tcPr>
          <w:p>
            <w:pPr>
              <w:spacing w:after="60"/>
            </w:pPr>
            <w:r/>
            <w:r>
              <w:rPr>
                <w:b w:val="0"/>
                <w:sz w:val="20"/>
              </w:rPr>
              <w:t>A presunção de abandono aos 15 dias não ressalva animais apreendidos nem animais socorridos em emergência</w:t>
            </w:r>
          </w:p>
        </w:tc>
      </w:tr>
      <w:tr>
        <w:tc>
          <w:tcPr>
            <w:tcW w:w="1417" w:type="dxa"/>
          </w:tcPr>
          <w:p>
            <w:pPr>
              <w:spacing w:after="60"/>
            </w:pPr>
            <w:r/>
            <w:r>
              <w:rPr>
                <w:b w:val="0"/>
                <w:sz w:val="20"/>
              </w:rPr>
              <w:t>S-02</w:t>
            </w:r>
          </w:p>
        </w:tc>
        <w:tc>
          <w:tcPr>
            <w:tcW w:w="1417" w:type="dxa"/>
          </w:tcPr>
          <w:p>
            <w:pPr>
              <w:spacing w:after="60"/>
            </w:pPr>
            <w:r/>
            <w:r>
              <w:rPr>
                <w:b w:val="0"/>
                <w:sz w:val="20"/>
              </w:rPr>
              <w:t>P-47</w:t>
            </w:r>
          </w:p>
        </w:tc>
        <w:tc>
          <w:tcPr>
            <w:tcW w:w="6236" w:type="dxa"/>
          </w:tcPr>
          <w:p>
            <w:pPr>
              <w:spacing w:after="60"/>
            </w:pPr>
            <w:r/>
            <w:r>
              <w:rPr>
                <w:b w:val="0"/>
                <w:sz w:val="20"/>
              </w:rPr>
              <w:t>A apreensão provisória serve só as contraordenações e admite devolver os animais ao local de origem</w:t>
            </w:r>
          </w:p>
        </w:tc>
      </w:tr>
      <w:tr>
        <w:tc>
          <w:tcPr>
            <w:tcW w:w="1417" w:type="dxa"/>
          </w:tcPr>
          <w:p>
            <w:pPr>
              <w:spacing w:after="60"/>
            </w:pPr>
            <w:r/>
            <w:r>
              <w:rPr>
                <w:b w:val="0"/>
                <w:sz w:val="20"/>
              </w:rPr>
              <w:t>E-01</w:t>
            </w:r>
          </w:p>
        </w:tc>
        <w:tc>
          <w:tcPr>
            <w:tcW w:w="1417" w:type="dxa"/>
          </w:tcPr>
          <w:p>
            <w:pPr>
              <w:spacing w:after="60"/>
            </w:pPr>
            <w:r/>
            <w:r>
              <w:rPr>
                <w:b w:val="0"/>
                <w:sz w:val="20"/>
              </w:rPr>
              <w:t>P-48</w:t>
            </w:r>
          </w:p>
        </w:tc>
        <w:tc>
          <w:tcPr>
            <w:tcW w:w="6236" w:type="dxa"/>
          </w:tcPr>
          <w:p>
            <w:pPr>
              <w:spacing w:after="60"/>
            </w:pPr>
            <w:r/>
            <w:r>
              <w:rPr>
                <w:b w:val="0"/>
                <w:sz w:val="20"/>
              </w:rPr>
              <w:t>Nada sobre animais de companhia em acidente grave ou catástrofe</w:t>
            </w:r>
          </w:p>
        </w:tc>
      </w:tr>
      <w:tr>
        <w:tc>
          <w:tcPr>
            <w:tcW w:w="1417" w:type="dxa"/>
          </w:tcPr>
          <w:p>
            <w:pPr>
              <w:spacing w:after="60"/>
            </w:pPr>
            <w:r/>
            <w:r>
              <w:rPr>
                <w:b w:val="0"/>
                <w:sz w:val="20"/>
              </w:rPr>
              <w:t>D-01</w:t>
            </w:r>
          </w:p>
        </w:tc>
        <w:tc>
          <w:tcPr>
            <w:tcW w:w="1417" w:type="dxa"/>
          </w:tcPr>
          <w:p>
            <w:pPr>
              <w:spacing w:after="60"/>
            </w:pPr>
            <w:r/>
            <w:r>
              <w:rPr>
                <w:b w:val="0"/>
                <w:sz w:val="20"/>
              </w:rPr>
              <w:t>P-49</w:t>
            </w:r>
          </w:p>
        </w:tc>
        <w:tc>
          <w:tcPr>
            <w:tcW w:w="6236" w:type="dxa"/>
          </w:tcPr>
          <w:p>
            <w:pPr>
              <w:spacing w:after="60"/>
            </w:pPr>
            <w:r/>
            <w:r>
              <w:rPr>
                <w:b w:val="0"/>
                <w:sz w:val="20"/>
              </w:rPr>
              <w:t>Duas vias para retirar a classificação de perigoso, sem ligação entre elas</w:t>
            </w:r>
          </w:p>
        </w:tc>
      </w:tr>
      <w:tr>
        <w:tc>
          <w:tcPr>
            <w:tcW w:w="1417" w:type="dxa"/>
          </w:tcPr>
          <w:p>
            <w:pPr>
              <w:spacing w:after="60"/>
            </w:pPr>
            <w:r/>
            <w:r>
              <w:rPr>
                <w:b w:val="0"/>
                <w:sz w:val="20"/>
              </w:rPr>
              <w:t>E-02</w:t>
            </w:r>
          </w:p>
        </w:tc>
        <w:tc>
          <w:tcPr>
            <w:tcW w:w="1417" w:type="dxa"/>
          </w:tcPr>
          <w:p>
            <w:pPr>
              <w:spacing w:after="60"/>
            </w:pPr>
            <w:r/>
            <w:r>
              <w:rPr>
                <w:b w:val="0"/>
                <w:sz w:val="20"/>
              </w:rPr>
              <w:t>P-50</w:t>
            </w:r>
          </w:p>
        </w:tc>
        <w:tc>
          <w:tcPr>
            <w:tcW w:w="6236" w:type="dxa"/>
          </w:tcPr>
          <w:p>
            <w:pPr>
              <w:spacing w:after="60"/>
            </w:pPr>
            <w:r/>
            <w:r>
              <w:rPr>
                <w:b w:val="0"/>
                <w:sz w:val="20"/>
              </w:rPr>
              <w:t>O encerramento de estabelecimentos fica sem medida cautelar, sem regra para os animais e sem efeito no registo</w:t>
            </w:r>
          </w:p>
        </w:tc>
      </w:tr>
      <w:tr>
        <w:tc>
          <w:tcPr>
            <w:tcW w:w="1417" w:type="dxa"/>
          </w:tcPr>
          <w:p>
            <w:pPr>
              <w:spacing w:after="60"/>
            </w:pPr>
            <w:r/>
            <w:r>
              <w:rPr>
                <w:b w:val="0"/>
                <w:sz w:val="20"/>
              </w:rPr>
              <w:t>S-03</w:t>
            </w:r>
          </w:p>
        </w:tc>
        <w:tc>
          <w:tcPr>
            <w:tcW w:w="1417" w:type="dxa"/>
          </w:tcPr>
          <w:p>
            <w:pPr>
              <w:spacing w:after="60"/>
            </w:pPr>
            <w:r/>
            <w:r>
              <w:rPr>
                <w:b w:val="0"/>
                <w:sz w:val="20"/>
              </w:rPr>
              <w:t>P-51</w:t>
            </w:r>
          </w:p>
        </w:tc>
        <w:tc>
          <w:tcPr>
            <w:tcW w:w="6236" w:type="dxa"/>
          </w:tcPr>
          <w:p>
            <w:pPr>
              <w:spacing w:after="60"/>
            </w:pPr>
            <w:r/>
            <w:r>
              <w:rPr>
                <w:b w:val="0"/>
                <w:sz w:val="20"/>
              </w:rPr>
              <w:t>As sanções acessórias perdem a interdição do exercício da atividade</w:t>
            </w:r>
          </w:p>
        </w:tc>
      </w:tr>
      <w:tr>
        <w:tc>
          <w:tcPr>
            <w:tcW w:w="1417" w:type="dxa"/>
          </w:tcPr>
          <w:p>
            <w:pPr>
              <w:spacing w:after="60"/>
            </w:pPr>
            <w:r/>
            <w:r>
              <w:rPr>
                <w:b w:val="0"/>
                <w:sz w:val="20"/>
              </w:rPr>
              <w:t>S-04</w:t>
            </w:r>
          </w:p>
        </w:tc>
        <w:tc>
          <w:tcPr>
            <w:tcW w:w="1417" w:type="dxa"/>
          </w:tcPr>
          <w:p>
            <w:pPr>
              <w:spacing w:after="60"/>
            </w:pPr>
            <w:r/>
            <w:r>
              <w:rPr>
                <w:b w:val="0"/>
                <w:sz w:val="20"/>
              </w:rPr>
              <w:t>P-52</w:t>
            </w:r>
          </w:p>
        </w:tc>
        <w:tc>
          <w:tcPr>
            <w:tcW w:w="6236" w:type="dxa"/>
          </w:tcPr>
          <w:p>
            <w:pPr>
              <w:spacing w:after="60"/>
            </w:pPr>
            <w:r/>
            <w:r>
              <w:rPr>
                <w:b w:val="0"/>
                <w:sz w:val="20"/>
              </w:rPr>
              <w:t>O dever geral de colaboração de terceiros e a coima por recusa de informações não passam para o RGAC</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1.13</w:t>
            </w:r>
          </w:p>
        </w:tc>
        <w:tc>
          <w:tcPr>
            <w:tcW w:w="1417" w:type="dxa"/>
          </w:tcPr>
          <w:p>
            <w:pPr>
              <w:spacing w:after="60"/>
            </w:pPr>
            <w:r/>
            <w:r>
              <w:rPr>
                <w:b w:val="0"/>
                <w:sz w:val="20"/>
              </w:rPr>
              <w:t>9.10.2026</w:t>
            </w:r>
          </w:p>
        </w:tc>
        <w:tc>
          <w:tcPr>
            <w:tcW w:w="6406"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247" w:type="dxa"/>
          </w:tcPr>
          <w:p>
            <w:pPr>
              <w:spacing w:after="60"/>
            </w:pPr>
            <w:r/>
            <w:r>
              <w:rPr>
                <w:b w:val="0"/>
                <w:sz w:val="20"/>
              </w:rPr>
              <w:t>1.14</w:t>
            </w:r>
          </w:p>
        </w:tc>
        <w:tc>
          <w:tcPr>
            <w:tcW w:w="1417" w:type="dxa"/>
          </w:tcPr>
          <w:p>
            <w:pPr>
              <w:spacing w:after="60"/>
            </w:pPr>
            <w:r/>
            <w:r>
              <w:rPr>
                <w:b w:val="0"/>
                <w:sz w:val="20"/>
              </w:rPr>
              <w:t>13.10.2026</w:t>
            </w:r>
          </w:p>
        </w:tc>
        <w:tc>
          <w:tcPr>
            <w:tcW w:w="6406"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247" w:type="dxa"/>
          </w:tcPr>
          <w:p>
            <w:pPr>
              <w:spacing w:after="60"/>
            </w:pPr>
            <w:r/>
            <w:r>
              <w:rPr>
                <w:b w:val="0"/>
                <w:sz w:val="20"/>
              </w:rPr>
              <w:t>1.15</w:t>
            </w:r>
          </w:p>
        </w:tc>
        <w:tc>
          <w:tcPr>
            <w:tcW w:w="1417" w:type="dxa"/>
          </w:tcPr>
          <w:p>
            <w:pPr>
              <w:spacing w:after="60"/>
            </w:pPr>
            <w:r/>
            <w:r>
              <w:rPr>
                <w:b w:val="0"/>
                <w:sz w:val="20"/>
              </w:rPr>
              <w:t>13.10.2026</w:t>
            </w:r>
          </w:p>
        </w:tc>
        <w:tc>
          <w:tcPr>
            <w:tcW w:w="6406"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247" w:type="dxa"/>
          </w:tcPr>
          <w:p>
            <w:pPr>
              <w:spacing w:after="60"/>
            </w:pPr>
            <w:r/>
            <w:r>
              <w:rPr>
                <w:b w:val="0"/>
                <w:sz w:val="20"/>
              </w:rPr>
              <w:t>1.16</w:t>
            </w:r>
          </w:p>
        </w:tc>
        <w:tc>
          <w:tcPr>
            <w:tcW w:w="1417" w:type="dxa"/>
          </w:tcPr>
          <w:p>
            <w:pPr>
              <w:spacing w:after="60"/>
            </w:pPr>
            <w:r/>
            <w:r>
              <w:rPr>
                <w:b w:val="0"/>
                <w:sz w:val="20"/>
              </w:rPr>
              <w:t>13.10.2026</w:t>
            </w:r>
          </w:p>
        </w:tc>
        <w:tc>
          <w:tcPr>
            <w:tcW w:w="6406"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247" w:type="dxa"/>
          </w:tcPr>
          <w:p>
            <w:pPr>
              <w:spacing w:after="60"/>
            </w:pPr>
            <w:r/>
            <w:r>
              <w:rPr>
                <w:b w:val="0"/>
                <w:sz w:val="20"/>
              </w:rPr>
              <w:t>1.17</w:t>
            </w:r>
          </w:p>
        </w:tc>
        <w:tc>
          <w:tcPr>
            <w:tcW w:w="1417" w:type="dxa"/>
          </w:tcPr>
          <w:p>
            <w:pPr>
              <w:spacing w:after="60"/>
            </w:pPr>
            <w:r/>
            <w:r>
              <w:rPr>
                <w:b w:val="0"/>
                <w:sz w:val="20"/>
              </w:rPr>
              <w:t>13.10.2026</w:t>
            </w:r>
          </w:p>
        </w:tc>
        <w:tc>
          <w:tcPr>
            <w:tcW w:w="6406"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247" w:type="dxa"/>
          </w:tcPr>
          <w:p>
            <w:pPr>
              <w:spacing w:after="60"/>
            </w:pPr>
            <w:r/>
            <w:r>
              <w:rPr>
                <w:b w:val="0"/>
                <w:sz w:val="20"/>
              </w:rPr>
              <w:t>1.18</w:t>
            </w:r>
          </w:p>
        </w:tc>
        <w:tc>
          <w:tcPr>
            <w:tcW w:w="1417" w:type="dxa"/>
          </w:tcPr>
          <w:p>
            <w:pPr>
              <w:spacing w:after="60"/>
            </w:pPr>
            <w:r/>
            <w:r>
              <w:rPr>
                <w:b w:val="0"/>
                <w:sz w:val="20"/>
              </w:rPr>
              <w:t>13.10.2026</w:t>
            </w:r>
          </w:p>
        </w:tc>
        <w:tc>
          <w:tcPr>
            <w:tcW w:w="6406"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247" w:type="dxa"/>
          </w:tcPr>
          <w:p>
            <w:pPr>
              <w:spacing w:after="60"/>
            </w:pPr>
            <w:r/>
            <w:r>
              <w:rPr>
                <w:b w:val="0"/>
                <w:sz w:val="20"/>
              </w:rPr>
              <w:t>1.19</w:t>
            </w:r>
          </w:p>
        </w:tc>
        <w:tc>
          <w:tcPr>
            <w:tcW w:w="1417" w:type="dxa"/>
          </w:tcPr>
          <w:p>
            <w:pPr>
              <w:spacing w:after="60"/>
            </w:pPr>
            <w:r/>
            <w:r>
              <w:rPr>
                <w:b w:val="0"/>
                <w:sz w:val="20"/>
              </w:rPr>
              <w:t>13.10.2026</w:t>
            </w:r>
          </w:p>
        </w:tc>
        <w:tc>
          <w:tcPr>
            <w:tcW w:w="6406"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247" w:type="dxa"/>
          </w:tcPr>
          <w:p>
            <w:pPr>
              <w:spacing w:after="60"/>
            </w:pPr>
            <w:r/>
            <w:r>
              <w:rPr>
                <w:b w:val="0"/>
                <w:sz w:val="20"/>
              </w:rPr>
              <w:t>1.20</w:t>
            </w:r>
          </w:p>
        </w:tc>
        <w:tc>
          <w:tcPr>
            <w:tcW w:w="1417" w:type="dxa"/>
          </w:tcPr>
          <w:p>
            <w:pPr>
              <w:spacing w:after="60"/>
            </w:pPr>
            <w:r/>
            <w:r>
              <w:rPr>
                <w:b w:val="0"/>
                <w:sz w:val="20"/>
              </w:rPr>
              <w:t>13.10.2026</w:t>
            </w:r>
          </w:p>
        </w:tc>
        <w:tc>
          <w:tcPr>
            <w:tcW w:w="6406"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247" w:type="dxa"/>
          </w:tcPr>
          <w:p>
            <w:pPr>
              <w:spacing w:after="60"/>
            </w:pPr>
            <w:r/>
            <w:r>
              <w:rPr>
                <w:b w:val="0"/>
                <w:sz w:val="20"/>
              </w:rPr>
              <w:t>1.21</w:t>
            </w:r>
          </w:p>
        </w:tc>
        <w:tc>
          <w:tcPr>
            <w:tcW w:w="1417" w:type="dxa"/>
          </w:tcPr>
          <w:p>
            <w:pPr>
              <w:spacing w:after="60"/>
            </w:pPr>
            <w:r/>
            <w:r>
              <w:rPr>
                <w:b w:val="0"/>
                <w:sz w:val="20"/>
              </w:rPr>
              <w:t>13.10.2026</w:t>
            </w:r>
          </w:p>
        </w:tc>
        <w:tc>
          <w:tcPr>
            <w:tcW w:w="6406"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247" w:type="dxa"/>
          </w:tcPr>
          <w:p>
            <w:pPr>
              <w:spacing w:after="60"/>
            </w:pPr>
            <w:r/>
            <w:r>
              <w:rPr>
                <w:b w:val="0"/>
                <w:sz w:val="20"/>
              </w:rPr>
              <w:t>1.22</w:t>
            </w:r>
          </w:p>
        </w:tc>
        <w:tc>
          <w:tcPr>
            <w:tcW w:w="1417" w:type="dxa"/>
          </w:tcPr>
          <w:p>
            <w:pPr>
              <w:spacing w:after="60"/>
            </w:pPr>
            <w:r/>
            <w:r>
              <w:rPr>
                <w:b w:val="0"/>
                <w:sz w:val="20"/>
              </w:rPr>
              <w:t>14.10.2026</w:t>
            </w:r>
          </w:p>
        </w:tc>
        <w:tc>
          <w:tcPr>
            <w:tcW w:w="6406"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r>
        <w:tc>
          <w:tcPr>
            <w:tcW w:w="1247" w:type="dxa"/>
          </w:tcPr>
          <w:p>
            <w:pPr>
              <w:spacing w:after="60"/>
            </w:pPr>
            <w:r/>
            <w:r>
              <w:rPr>
                <w:b w:val="0"/>
                <w:sz w:val="20"/>
              </w:rPr>
              <w:t>1.23</w:t>
            </w:r>
          </w:p>
        </w:tc>
        <w:tc>
          <w:tcPr>
            <w:tcW w:w="1417" w:type="dxa"/>
          </w:tcPr>
          <w:p>
            <w:pPr>
              <w:spacing w:after="60"/>
            </w:pPr>
            <w:r/>
            <w:r>
              <w:rPr>
                <w:b w:val="0"/>
                <w:sz w:val="20"/>
              </w:rPr>
              <w:t>14.10.2026</w:t>
            </w:r>
          </w:p>
        </w:tc>
        <w:tc>
          <w:tcPr>
            <w:tcW w:w="6406" w:type="dxa"/>
          </w:tcPr>
          <w:p>
            <w:pPr>
              <w:spacing w:after="60"/>
            </w:pPr>
            <w:r/>
            <w:r>
              <w:rPr>
                <w:b w:val="0"/>
                <w:sz w:val="20"/>
              </w:rPr>
              <w:t>Ficha S-02 completada: o «retorno ao local de origem» do art. 139.º, n.º 8 vem do DL 315/2009, art. 39.º, n.º 8, cujo n.º 1 remete a apreensão para o RJCE e cujos n.ºs 2 a 6 estão revogados; o RGAC volta a regular essas matérias e deixa cair a remissão. Origem: notas à proposta OMV/ANVETEM.</w:t>
            </w:r>
          </w:p>
        </w:tc>
      </w:tr>
      <w:tr>
        <w:tc>
          <w:tcPr>
            <w:tcW w:w="1247" w:type="dxa"/>
          </w:tcPr>
          <w:p>
            <w:pPr>
              <w:spacing w:after="60"/>
            </w:pPr>
            <w:r/>
            <w:r>
              <w:rPr>
                <w:b w:val="0"/>
                <w:sz w:val="20"/>
              </w:rPr>
              <w:t>1.24</w:t>
            </w:r>
          </w:p>
        </w:tc>
        <w:tc>
          <w:tcPr>
            <w:tcW w:w="1417" w:type="dxa"/>
          </w:tcPr>
          <w:p>
            <w:pPr>
              <w:spacing w:after="60"/>
            </w:pPr>
            <w:r/>
            <w:r>
              <w:rPr>
                <w:b w:val="0"/>
                <w:sz w:val="20"/>
              </w:rPr>
              <w:t>20.10.2026</w:t>
            </w:r>
          </w:p>
        </w:tc>
        <w:tc>
          <w:tcPr>
            <w:tcW w:w="6406" w:type="dxa"/>
          </w:tcPr>
          <w:p>
            <w:pPr>
              <w:spacing w:after="60"/>
            </w:pPr>
            <w:r/>
            <w:r>
              <w:rPr>
                <w:b w:val="0"/>
                <w:sz w:val="20"/>
              </w:rPr>
              <w:t>Primeira ficha do cap. XIV: D-01 (duas vias para retirar a classificação de perigoso, sem ligação entre elas). Hoje o DL 315/2009 só prevê a eliminação da classificação por decisão definitiva criminal ou contraordenacional (art. 9.º, n.º 2) e não dá ao MVM poder para a retirar; o RGAC dá esse poder ao MVM (art. 120.º, n.º 5), mas mantém a via da DGAV (art. 115.º, n.º 2) sem as ligar. Lapsos novos L-19 (remissões por fixar nos arts. 79.º, 120.º e 121.º) e L-20 (remissões nos arts. 110.º e 112.º a 114.º). Origem: consulta sobre a retirada da classificação de perigoso no SIAC quando o auto da GNR não tem fundamento.</w:t>
            </w:r>
          </w:p>
        </w:tc>
      </w:tr>
      <w:tr>
        <w:tc>
          <w:tcPr>
            <w:tcW w:w="1247" w:type="dxa"/>
          </w:tcPr>
          <w:p>
            <w:pPr>
              <w:spacing w:after="60"/>
            </w:pPr>
            <w:r/>
            <w:r>
              <w:rPr>
                <w:b w:val="0"/>
                <w:sz w:val="20"/>
              </w:rPr>
              <w:t>1.25</w:t>
            </w:r>
          </w:p>
        </w:tc>
        <w:tc>
          <w:tcPr>
            <w:tcW w:w="1417" w:type="dxa"/>
          </w:tcPr>
          <w:p>
            <w:pPr>
              <w:spacing w:after="60"/>
            </w:pPr>
            <w:r/>
            <w:r>
              <w:rPr>
                <w:b w:val="0"/>
                <w:sz w:val="20"/>
              </w:rPr>
              <w:t>21.10.2026</w:t>
            </w:r>
          </w:p>
        </w:tc>
        <w:tc>
          <w:tcPr>
            <w:tcW w:w="6406" w:type="dxa"/>
          </w:tcPr>
          <w:p>
            <w:pPr>
              <w:spacing w:after="60"/>
            </w:pPr>
            <w:r/>
            <w:r>
              <w:rPr>
                <w:b w:val="0"/>
                <w:sz w:val="20"/>
              </w:rPr>
              <w:t>Fichas novas E-02 (o encerramento de estabelecimentos do art. 50.º fica sem medida cautelar, sem regra para os animais e sem efeito no registo) e S-03 (o art. 141.º deixa cair a interdição do exercício da atividade, que hoje está no DL 276/2001, art. 69.º, al. b)). Origem: análise da proposta de encerramento do alojamento PT1225FL, Amarante (Informação n.º 125893/26 da DSAVRN), onde a titular, arguida por maus-tratos, poderia voltar a registar um alojamento logo após o encerramento.</w:t>
            </w:r>
          </w:p>
        </w:tc>
      </w:tr>
      <w:tr>
        <w:tc>
          <w:tcPr>
            <w:tcW w:w="1247" w:type="dxa"/>
          </w:tcPr>
          <w:p>
            <w:pPr>
              <w:spacing w:after="60"/>
            </w:pPr>
            <w:r/>
            <w:r>
              <w:rPr>
                <w:b w:val="0"/>
                <w:sz w:val="20"/>
              </w:rPr>
              <w:t>1.26</w:t>
            </w:r>
          </w:p>
        </w:tc>
        <w:tc>
          <w:tcPr>
            <w:tcW w:w="1417" w:type="dxa"/>
          </w:tcPr>
          <w:p>
            <w:pPr>
              <w:spacing w:after="60"/>
            </w:pPr>
            <w:r/>
            <w:r>
              <w:rPr>
                <w:b w:val="0"/>
                <w:sz w:val="20"/>
              </w:rPr>
              <w:t>21.10.2026</w:t>
            </w:r>
          </w:p>
        </w:tc>
        <w:tc>
          <w:tcPr>
            <w:tcW w:w="6406" w:type="dxa"/>
          </w:tcPr>
          <w:p>
            <w:pPr>
              <w:spacing w:after="60"/>
            </w:pPr>
            <w:r/>
            <w:r>
              <w:rPr>
                <w:b w:val="0"/>
                <w:sz w:val="20"/>
              </w:rPr>
              <w:t>Ficha S-03 desenvolvida: a fórmula «título público ou autorização ou homologação» do art. 69.º do DL 276/2001 vem do regime de 1982 e não cobre a mera comunicação prévia; as als. c) e d) do art. 141.º do RGAC herdam o problema; proposta de interdição definida sem referência a título, com cancelamento do número e registo no SIAC. Origem: dúvida do utilizador sobre a articulação da interdição com o regime de mera comunicação prévia, no caso do alojamento PT1225FL.</w:t>
            </w:r>
          </w:p>
        </w:tc>
      </w:tr>
      <w:tr>
        <w:tc>
          <w:tcPr>
            <w:tcW w:w="1247" w:type="dxa"/>
          </w:tcPr>
          <w:p>
            <w:pPr>
              <w:spacing w:after="60"/>
            </w:pPr>
            <w:r/>
            <w:r>
              <w:rPr>
                <w:b w:val="0"/>
                <w:sz w:val="20"/>
              </w:rPr>
              <w:t>1.27</w:t>
            </w:r>
          </w:p>
        </w:tc>
        <w:tc>
          <w:tcPr>
            <w:tcW w:w="1417" w:type="dxa"/>
          </w:tcPr>
          <w:p>
            <w:pPr>
              <w:spacing w:after="60"/>
            </w:pPr>
            <w:r/>
            <w:r>
              <w:rPr>
                <w:b w:val="0"/>
                <w:sz w:val="20"/>
              </w:rPr>
              <w:t>21.10.2026</w:t>
            </w:r>
          </w:p>
        </w:tc>
        <w:tc>
          <w:tcPr>
            <w:tcW w:w="6406" w:type="dxa"/>
          </w:tcPr>
          <w:p>
            <w:pPr>
              <w:spacing w:after="60"/>
            </w:pPr>
            <w:r/>
            <w:r>
              <w:rPr>
                <w:b w:val="0"/>
                <w:sz w:val="20"/>
              </w:rPr>
              <w:t>Ficha E-02 corrigida: o destino dos animais recolhidos na execução de um encerramento segue, por arrastamento, o regime do CRO (DL 276/2001, art. 19.º; DL 314/2003, art. 9.º; Lei 27/2016, art. 3.º; DL 82/2019, art. 11.º); o que falta é a remissão expressa, a capacidade do CRO, os encargos e a ressalva dos animais apreendidos. Origem: observação do utilizador.</w:t>
            </w:r>
          </w:p>
        </w:tc>
      </w:tr>
      <w:tr>
        <w:tc>
          <w:tcPr>
            <w:tcW w:w="1247" w:type="dxa"/>
          </w:tcPr>
          <w:p>
            <w:pPr>
              <w:spacing w:after="60"/>
            </w:pPr>
            <w:r/>
            <w:r>
              <w:rPr>
                <w:b w:val="0"/>
                <w:sz w:val="20"/>
              </w:rPr>
              <w:t>1.28</w:t>
            </w:r>
          </w:p>
        </w:tc>
        <w:tc>
          <w:tcPr>
            <w:tcW w:w="1417" w:type="dxa"/>
          </w:tcPr>
          <w:p>
            <w:pPr>
              <w:spacing w:after="60"/>
            </w:pPr>
            <w:r/>
            <w:r>
              <w:rPr>
                <w:b w:val="0"/>
                <w:sz w:val="20"/>
              </w:rPr>
              <w:t>22.10.2026</w:t>
            </w:r>
          </w:p>
        </w:tc>
        <w:tc>
          <w:tcPr>
            <w:tcW w:w="6406" w:type="dxa"/>
          </w:tcPr>
          <w:p>
            <w:pPr>
              <w:spacing w:after="60"/>
            </w:pPr>
            <w:r/>
            <w:r>
              <w:rPr>
                <w:b w:val="0"/>
                <w:sz w:val="20"/>
              </w:rPr>
              <w:t>Ficha nova S-04 (o dever geral de colaboração de terceiros e a coima por recusa de informações não passam para o RGAC). Hoje o DL 276/2001, art. 67.º, n.º 3, obriga as pessoas singulares e coletivas a colaborar nas inspeções e ações de controlo, e o art. 68.º, n.º 1, al. d), pune a recusa de dados e a informação falsa; o RGAC só obriga o titular da exploração (art. 54.º) e só pune a oposição a medidas (art. 140.º, n.º 2, segunda al. i)). Lapso novo L-21 (art. 137.º: «ponha esteja em risco» e remissão para um pedido de colaboração que o n.º 1 não contém). Origem: denúncia de criação comercial sem comunicação prévia e pedido de esclarecimento à entidade que gere o livro de origens. Fontes novas: Código do Procedimento Administrativo, Lei 36/2021 e Regulamento (UE) 2016/679.</w:t>
            </w:r>
          </w:p>
        </w:tc>
      </w:tr>
      <w:tr>
        <w:tc>
          <w:tcPr>
            <w:tcW w:w="1247" w:type="dxa"/>
          </w:tcPr>
          <w:p>
            <w:pPr>
              <w:spacing w:after="60"/>
            </w:pPr>
            <w:r/>
            <w:r>
              <w:rPr>
                <w:b w:val="0"/>
                <w:sz w:val="20"/>
              </w:rPr>
              <w:t>1.29</w:t>
            </w:r>
          </w:p>
        </w:tc>
        <w:tc>
          <w:tcPr>
            <w:tcW w:w="1417" w:type="dxa"/>
          </w:tcPr>
          <w:p>
            <w:pPr>
              <w:spacing w:after="60"/>
            </w:pPr>
            <w:r/>
            <w:r>
              <w:rPr>
                <w:b w:val="0"/>
                <w:sz w:val="20"/>
              </w:rPr>
              <w:t>22.10.2026</w:t>
            </w:r>
          </w:p>
        </w:tc>
        <w:tc>
          <w:tcPr>
            <w:tcW w:w="6406" w:type="dxa"/>
          </w:tcPr>
          <w:p>
            <w:pPr>
              <w:spacing w:after="60"/>
            </w:pPr>
            <w:r/>
            <w:r>
              <w:rPr>
                <w:b w:val="0"/>
                <w:sz w:val="20"/>
              </w:rPr>
              <w:t>Ficha S-04 corrigida e completada: o art. 109.º, n.º 2, já obriga a entidade gestora do LOP a dar à DGAV as informações solicitadas para controlo oficial, e o n.º 3 impõe relatório anual, sem coima; a lacuna fica para os restantes terceiros e para a sanção. Acrescentado o enquadramento atual do LOP: gerido pelo Clube Português de Canicultura com base no despacho ministerial de 29.3.1939 citado no seu regulamento, pressuposto pelo DL 276/2001 e pelo DL 315/2009, tratado pela DGAV como atividade delegada (Despacho n.º 15262/2012, Gabinete de Recursos Genéticos Animais) e fora do regime zootécnico do DL 59/2022. Fontes novas: DL 59/2022, Despacho n.º 15262/2012, regulamento do LOP e página das raças autóctones da DGAV.</w:t>
            </w:r>
          </w:p>
        </w:tc>
      </w:tr>
      <w:tr>
        <w:tc>
          <w:tcPr>
            <w:tcW w:w="1247" w:type="dxa"/>
          </w:tcPr>
          <w:p>
            <w:pPr>
              <w:spacing w:after="60"/>
            </w:pPr>
            <w:r/>
            <w:r>
              <w:rPr>
                <w:b w:val="0"/>
                <w:sz w:val="20"/>
              </w:rPr>
              <w:t>1.30</w:t>
            </w:r>
          </w:p>
        </w:tc>
        <w:tc>
          <w:tcPr>
            <w:tcW w:w="1417" w:type="dxa"/>
          </w:tcPr>
          <w:p>
            <w:pPr>
              <w:spacing w:after="60"/>
            </w:pPr>
            <w:r/>
            <w:r>
              <w:rPr>
                <w:b w:val="0"/>
                <w:sz w:val="20"/>
              </w:rPr>
              <w:t>22.10.2026</w:t>
            </w:r>
          </w:p>
        </w:tc>
        <w:tc>
          <w:tcPr>
            <w:tcW w:w="6406" w:type="dxa"/>
          </w:tcPr>
          <w:p>
            <w:pPr>
              <w:spacing w:after="60"/>
            </w:pPr>
            <w:r/>
            <w:r>
              <w:rPr>
                <w:b w:val="0"/>
                <w:sz w:val="20"/>
              </w:rPr>
              <w:t>Ficha S-04: a orgânica da DGAV (Decreto Regulamentar n.º 31/2012, art. 2.º, n.º 2, al. p), na redação do Decreto Regulamentar n.º 4/2025) manda superintender a gestão dos livros genealógicos das associações de criadores reconhecidas para todas as espécies, e as als. jj) e mm) dão à DGAV a política e o cumprimento das regras de criação e comércio de animais de companhia. Fonte nova: Decreto Regulamentar n.º 4/2025.</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P-01 a P-35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14.10.2026.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Código do Procedimento Administrativo, aprovado pelo Decreto-Lei n.º 4/2015, de 7 de janeiro, versão em vigor. </w:t>
      </w:r>
      <w:hyperlink r:id="rId18">
        <w:r>
          <w:rPr>
            <w:u w:val="single"/>
          </w:rPr>
          <w:t xml:space="preserve">https://www.pgdlisboa.pt/leis/lei_mostra_articulado.php?nid=2248&amp;tabela=leis</w:t>
        </w:r>
      </w:hyperlink>
    </w:p>
    <w:p>
      <w:pPr>
        <w:spacing w:after="80"/>
        <w:ind w:left="454" w:hanging="454"/>
      </w:pPr>
      <w:r>
        <w:rPr>
          <w:b w:val="0"/>
          <w:i w:val="0"/>
        </w:rPr>
        <w:t xml:space="preserve">Lei n.º 36/2021, de 14 de junho, que aprova a Lei-Quadro do Estatuto de Utilidade Pública. </w:t>
      </w:r>
      <w:hyperlink r:id="rId19">
        <w:r>
          <w:rPr>
            <w:u w:val="single"/>
          </w:rPr>
          <w:t xml:space="preserve">https://info.portaldasfinancas.gov.pt/pt/informacao_fiscal/legislacao/diplomas_legislativos/Documents/Lei_36_2021.pdf</w:t>
        </w:r>
      </w:hyperlink>
    </w:p>
    <w:p>
      <w:pPr>
        <w:spacing w:after="80"/>
        <w:ind w:left="454" w:hanging="454"/>
      </w:pPr>
      <w:r>
        <w:rPr>
          <w:b w:val="0"/>
          <w:i w:val="0"/>
        </w:rPr>
        <w:t xml:space="preserve">Regulamento (UE) 2016/679 do Parlamento Europeu e do Conselho, de 27 de abril de 2016 (Regulamento Geral sobre a Proteção de Dados). </w:t>
      </w:r>
      <w:hyperlink r:id="rId20">
        <w:r>
          <w:rPr>
            <w:u w:val="single"/>
          </w:rPr>
          <w:t xml:space="preserve">https://www.pgdlisboa.pt/leis/lei_mostra_articulado.php?nid=2961&amp;tabela=leis</w:t>
        </w:r>
      </w:hyperlink>
    </w:p>
    <w:p>
      <w:pPr>
        <w:spacing w:after="80"/>
        <w:ind w:left="454" w:hanging="454"/>
      </w:pPr>
      <w:r>
        <w:rPr>
          <w:b w:val="0"/>
          <w:i w:val="0"/>
        </w:rPr>
        <w:t xml:space="preserve">Decreto-Lei n.º 59/2022, de 13 de setembro (execução do Regulamento (UE) 2016/1012, condições zootécnicas e genealógicas dos animais reprodutores). </w:t>
      </w:r>
      <w:hyperlink r:id="rId21">
        <w:r>
          <w:rPr>
            <w:u w:val="single"/>
          </w:rPr>
          <w:t xml:space="preserve">https://diariodarepublica.pt/dr/detalhe/decreto-lei/59-2022-200907657</w:t>
        </w:r>
      </w:hyperlink>
    </w:p>
    <w:p>
      <w:pPr>
        <w:spacing w:after="80"/>
        <w:ind w:left="454" w:hanging="454"/>
      </w:pPr>
      <w:r>
        <w:rPr>
          <w:b w:val="0"/>
          <w:i w:val="0"/>
        </w:rPr>
        <w:t xml:space="preserve">Despacho n.º 15262/2012, de 28 de novembro (unidades orgânicas flexíveis da DGAV). </w:t>
      </w:r>
      <w:hyperlink r:id="rId22">
        <w:r>
          <w:rPr>
            <w:u w:val="single"/>
          </w:rPr>
          <w:t xml:space="preserve">https://diariodarepublica.pt/dr/detalhe/despacho/15262-2012-2009106</w:t>
        </w:r>
      </w:hyperlink>
    </w:p>
    <w:p>
      <w:pPr>
        <w:spacing w:after="80"/>
        <w:ind w:left="454" w:hanging="454"/>
      </w:pPr>
      <w:r>
        <w:rPr>
          <w:b w:val="0"/>
          <w:i w:val="0"/>
        </w:rPr>
        <w:t xml:space="preserve">Decreto Regulamentar n.º 4/2025, de 7 de abril (quarta alteração da orgânica da DGAV, Decreto Regulamentar n.º 31/2012, de 13 de março). </w:t>
      </w:r>
      <w:hyperlink r:id="rId23">
        <w:r>
          <w:rPr>
            <w:u w:val="single"/>
          </w:rPr>
          <w:t xml:space="preserve">https://diariodarepublica.pt/dr/detalhe/decreto-regulamentar/4-2025-913947258</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24">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25">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6">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7">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8">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9">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30">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31">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32">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33">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34">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35">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6">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7">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8">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DGAV. Raças Autóctones, página do sítio da DGAV, consultada em 22.10.2026. </w:t>
      </w:r>
      <w:hyperlink r:id="rId39">
        <w:r>
          <w:rPr>
            <w:u w:val="single"/>
          </w:rPr>
          <w:t xml:space="preserve">https://www.dgav.pt/animais/conteudo/recursos-geneticos-animais/racas-autoctones/</w:t>
        </w:r>
      </w:hyperlink>
    </w:p>
    <w:p>
      <w:pPr>
        <w:spacing w:after="80"/>
        <w:ind w:left="454" w:hanging="454"/>
      </w:pPr>
      <w:r>
        <w:rPr>
          <w:b w:val="0"/>
          <w:i w:val="0"/>
        </w:rPr>
        <w:t xml:space="preserve">ICNF (2023). Estratégia Nacional para os Animais Errantes (ENAE), versão submetida a consulta pública. </w:t>
      </w:r>
      <w:hyperlink r:id="rId40">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41">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42">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43">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44">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45">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46">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7">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8">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49">
        <w:r>
          <w:rPr>
            <w:u w:val="single"/>
          </w:rPr>
          <w:t xml:space="preserve">https://www.dgav.pt/wp-content/uploads/2026/03/Relatorio_CROs_2025_31032026-rev.pdf</w:t>
        </w:r>
      </w:hyperlink>
    </w:p>
    <w:p>
      <w:pPr>
        <w:pStyle w:val="Heading2"/>
      </w:pPr>
      <w:r>
        <w:rPr>
          <w:i w:val="0"/>
          <w:color w:val="000000"/>
        </w:rPr>
        <w:t>Pareceres de ordens, associações e ONG</w:t>
      </w:r>
    </w:p>
    <w:p>
      <w:pPr>
        <w:spacing w:after="80"/>
        <w:ind w:left="454" w:hanging="454"/>
      </w:pPr>
      <w:r>
        <w:rPr>
          <w:b w:val="0"/>
          <w:i w:val="0"/>
        </w:rPr>
        <w:t xml:space="preserve">Clube Português de Canicultura (2019). Regulamento do Livro de Origens Português e do Registo Inicial, 23.11.2019. </w:t>
      </w:r>
      <w:hyperlink r:id="rId50">
        <w:r>
          <w:rPr>
            <w:u w:val="single"/>
          </w:rPr>
          <w:t xml:space="preserve">https://www.cpc.pt/wp-content/uploads/2020/12/lop_ri.pdf</w:t>
        </w:r>
      </w:hyperlink>
    </w:p>
    <w:p>
      <w:pPr>
        <w:spacing w:after="80"/>
        <w:ind w:left="454" w:hanging="454"/>
      </w:pPr>
      <w:r>
        <w:rPr>
          <w:b w:val="0"/>
          <w:i w:val="0"/>
        </w:rPr>
        <w:t xml:space="preserve">Ordem dos Médicos Veterinários (2015). Parecer sobre o abandono de animais em centros de atendimento médico-veterinário, novembro de 2015. </w:t>
      </w:r>
      <w:hyperlink r:id="rId51">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52">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53">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54">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55">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56">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57">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58">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59">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60">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61">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62">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63">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64">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65">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66">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67">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68">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69">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70">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71">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72">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73">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74">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75">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76">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77">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78">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79">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80">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81">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82">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83">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2.0 (ensaio), com o conteúdo da versão 1.30.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www.pgdlisboa.pt/leis/lei_mostra_articulado.php?nid=2248&amp;tabela=leis" TargetMode="External"/><Relationship Id="rId19" Type="http://schemas.openxmlformats.org/officeDocument/2006/relationships/hyperlink" Target="https://info.portaldasfinancas.gov.pt/pt/informacao_fiscal/legislacao/diplomas_legislativos/Documents/Lei_36_2021.pdf" TargetMode="External"/><Relationship Id="rId20" Type="http://schemas.openxmlformats.org/officeDocument/2006/relationships/hyperlink" Target="https://www.pgdlisboa.pt/leis/lei_mostra_articulado.php?nid=2961&amp;tabela=leis" TargetMode="External"/><Relationship Id="rId21" Type="http://schemas.openxmlformats.org/officeDocument/2006/relationships/hyperlink" Target="https://diariodarepublica.pt/dr/detalhe/decreto-lei/59-2022-200907657" TargetMode="External"/><Relationship Id="rId22" Type="http://schemas.openxmlformats.org/officeDocument/2006/relationships/hyperlink" Target="https://diariodarepublica.pt/dr/detalhe/despacho/15262-2012-2009106" TargetMode="External"/><Relationship Id="rId23" Type="http://schemas.openxmlformats.org/officeDocument/2006/relationships/hyperlink" Target="https://diariodarepublica.pt/dr/detalhe/decreto-regulamentar/4-2025-913947258" TargetMode="External"/><Relationship Id="rId24" Type="http://schemas.openxmlformats.org/officeDocument/2006/relationships/hyperlink" Target="https://eur-lex.europa.eu/eli/reg/2026/1818/oj/por" TargetMode="External"/><Relationship Id="rId25" Type="http://schemas.openxmlformats.org/officeDocument/2006/relationships/hyperlink" Target="https://files.dre.pt/2s/2023/01/016000000/0033100335.pdf" TargetMode="External"/><Relationship Id="rId26" Type="http://schemas.openxmlformats.org/officeDocument/2006/relationships/hyperlink" Target="https://www.cm-moita.pt/cmmoita/uploads/writer_file/document/9889/regulamento_cuidador_informal.pdf" TargetMode="External"/><Relationship Id="rId27" Type="http://schemas.openxmlformats.org/officeDocument/2006/relationships/hyperlink" Target="https://www.pgdlisboa.pt/leis/lei_mostra_articulado.php?nid=1990&amp;tabela=leis" TargetMode="External"/><Relationship Id="rId28" Type="http://schemas.openxmlformats.org/officeDocument/2006/relationships/hyperlink" Target="https://www.mun-setubal.pt/wp-content/uploads/2020/07/RSBEAMS-2020.pdf" TargetMode="External"/><Relationship Id="rId29" Type="http://schemas.openxmlformats.org/officeDocument/2006/relationships/hyperlink" Target="https://files.diariodarepublica.pt/gratuitos/2s/2023/03/2S061A0000S00.pdf" TargetMode="External"/><Relationship Id="rId30" Type="http://schemas.openxmlformats.org/officeDocument/2006/relationships/hyperlink" Target="https://files.diariodarepublica.pt/1s/2025/04/06800/0007500080.pdf" TargetMode="External"/><Relationship Id="rId31" Type="http://schemas.openxmlformats.org/officeDocument/2006/relationships/hyperlink" Target="https://diariodarepublica.pt/dr/detalhe/lei/73-a-2025-993270096" TargetMode="External"/><Relationship Id="rId32" Type="http://schemas.openxmlformats.org/officeDocument/2006/relationships/hyperlink" Target="https://files.diariodarepublica.pt/2s/2026/03/045000000/0023300269.pdf" TargetMode="External"/><Relationship Id="rId33" Type="http://schemas.openxmlformats.org/officeDocument/2006/relationships/hyperlink" Target="https://diariodarepublica.pt/dr/detalhe/despacho/9102-2026-1148891344" TargetMode="External"/><Relationship Id="rId34" Type="http://schemas.openxmlformats.org/officeDocument/2006/relationships/hyperlink" Target="https://diariodarepublica.pt/dr/detalhe/lei/6-2022-177309291" TargetMode="External"/><Relationship Id="rId35" Type="http://schemas.openxmlformats.org/officeDocument/2006/relationships/hyperlink" Target="https://files.diariodarepublica.pt/2s/2022/02/031000000/0030000303.pdf" TargetMode="External"/><Relationship Id="rId36" Type="http://schemas.openxmlformats.org/officeDocument/2006/relationships/hyperlink" Target="https://anmp.pt/file-viewer/?pstid=41508" TargetMode="External"/><Relationship Id="rId37"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8"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9" Type="http://schemas.openxmlformats.org/officeDocument/2006/relationships/hyperlink" Target="https://www.dgav.pt/animais/conteudo/recursos-geneticos-animais/racas-autoctones/" TargetMode="External"/><Relationship Id="rId40" Type="http://schemas.openxmlformats.org/officeDocument/2006/relationships/hyperlink" Target="https://www.icnf.pt/api/file/doc/41f8f44aee23be1a" TargetMode="External"/><Relationship Id="rId41" Type="http://schemas.openxmlformats.org/officeDocument/2006/relationships/hyperlink" Target="https://www.dgav.pt/wp-content/uploads/2021/08/Relatorio-FINAL-avaliacao-da-implementacao-da-Lei-27-2016.pdf" TargetMode="External"/><Relationship Id="rId42" Type="http://schemas.openxmlformats.org/officeDocument/2006/relationships/hyperlink" Target="https://www.provedor-jus.pt/documentos/082A_96.pdf" TargetMode="External"/><Relationship Id="rId43" Type="http://schemas.openxmlformats.org/officeDocument/2006/relationships/hyperlink" Target="https://www.provedor-jus.pt/documentos/canideos-captura-alojamento-e-abate/" TargetMode="External"/><Relationship Id="rId44" Type="http://schemas.openxmlformats.org/officeDocument/2006/relationships/hyperlink" Target="https://www.provedor-jus.pt/documentos/ambiente-salubridade-habitacao-acumulacao-de-residuos-saude-mental-sindrome-de-diogenes-004-a-2013/" TargetMode="External"/><Relationship Id="rId45" Type="http://schemas.openxmlformats.org/officeDocument/2006/relationships/hyperlink" Target="https://www.provedor-jus.pt/documentos/Relat2020%20_Relatorio.pdf" TargetMode="External"/><Relationship Id="rId46" Type="http://schemas.openxmlformats.org/officeDocument/2006/relationships/hyperlink" Target="https://www.provedor-jus.pt/documentos/Relatorio%202023.pdf" TargetMode="External"/><Relationship Id="rId47" Type="http://schemas.openxmlformats.org/officeDocument/2006/relationships/hyperlink" Target="https://food.ec.europa.eu/document/download/caf8cd1d-967a-4e60-a0e5-19401be1c6b3_en?filename=aw_awp_leg_dog-cat_swd-2024-88.pdf" TargetMode="External"/><Relationship Id="rId48" Type="http://schemas.openxmlformats.org/officeDocument/2006/relationships/hyperlink" Target="https://www.woah.org/fileadmin/Home/eng/Health_standards/tahc/2023/chapitre_aw_stray_dog.pdf" TargetMode="External"/><Relationship Id="rId49" Type="http://schemas.openxmlformats.org/officeDocument/2006/relationships/hyperlink" Target="https://www.dgav.pt/wp-content/uploads/2026/03/Relatorio_CROs_2025_31032026-rev.pdf" TargetMode="External"/><Relationship Id="rId50" Type="http://schemas.openxmlformats.org/officeDocument/2006/relationships/hyperlink" Target="https://www.cpc.pt/wp-content/uploads/2020/12/lop_ri.pdf" TargetMode="External"/><Relationship Id="rId51" Type="http://schemas.openxmlformats.org/officeDocument/2006/relationships/hyperlink" Target="https://www.omv.pt/dmdocuments/vi_formacao_omv/abandono_animais_camv_ultimoparecer_nov2015.pdf" TargetMode="External"/><Relationship Id="rId52"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53" Type="http://schemas.openxmlformats.org/officeDocument/2006/relationships/hyperlink" Target="https://apmveac.pt/wp-content/uploads/2021/04/Legislacao.Animais.Companhia_09-04-2021-amarelo-final-.pdf" TargetMode="External"/><Relationship Id="rId54" Type="http://schemas.openxmlformats.org/officeDocument/2006/relationships/hyperlink" Target="https://apmveac.pt/wp-content/uploads/2023/09/Parecer-APMVEAC-Consulta-Publica-ENAE.pdf" TargetMode="External"/><Relationship Id="rId55" Type="http://schemas.openxmlformats.org/officeDocument/2006/relationships/hyperlink" Target="https://www.arpa-associacao.pt/media/attachments/2022/12/14/parecer-arpa-versAo-4-final.pdf" TargetMode="External"/><Relationship Id="rId56" Type="http://schemas.openxmlformats.org/officeDocument/2006/relationships/hyperlink" Target="https://www.spea.pt/wp-content/uploads/2020/09/ParecerSPEA_Planos-Gestao-Parques-Naturais-Ilha-2020.pdf" TargetMode="External"/><Relationship Id="rId57" Type="http://schemas.openxmlformats.org/officeDocument/2006/relationships/hyperlink" Target="https://spea.pt/um-gato-feliz-e-alimentado-mantem-o-passarinho-afastado/" TargetMode="External"/><Relationship Id="rId58" Type="http://schemas.openxmlformats.org/officeDocument/2006/relationships/hyperlink" Target="https://matilhascoimbra.pt/pages/projecto-2" TargetMode="External"/><Relationship Id="rId59" Type="http://schemas.openxmlformats.org/officeDocument/2006/relationships/hyperlink" Target="https://www.pan.com.pt/pan-destaca-vitorias-no-bem-estar-animal-mas-denuncia-retrocesso-grave-no-orcamento-do-estado-para-2026/" TargetMode="External"/><Relationship Id="rId60" Type="http://schemas.openxmlformats.org/officeDocument/2006/relationships/hyperlink" Target="https://www.pcp.pt/solucao-prevencao-pela-esterilizacao-rede-publica-de-veterinarios-nao-abate-de-animais-abandonados" TargetMode="External"/><Relationship Id="rId61" Type="http://schemas.openxmlformats.org/officeDocument/2006/relationships/hyperlink" Target="https://www.pcp.pt/campanha-nacional-de-esterilizacao-de-animais-errantes-0" TargetMode="External"/><Relationship Id="rId62" Type="http://schemas.openxmlformats.org/officeDocument/2006/relationships/hyperlink" Target="https://programa.partidolivre.pt/propostas/N.13/" TargetMode="External"/><Relationship Id="rId63" Type="http://schemas.openxmlformats.org/officeDocument/2006/relationships/hyperlink" Target="https://maratonapelosanimais.pt/wp-content/uploads/2024/03/respostas-completas.pdf" TargetMode="External"/><Relationship Id="rId64" Type="http://schemas.openxmlformats.org/officeDocument/2006/relationships/hyperlink" Target="https://www.cidp.pt/revistas/rjlb/2019/2/2019_02_0077_0095.pdf" TargetMode="External"/><Relationship Id="rId65" Type="http://schemas.openxmlformats.org/officeDocument/2006/relationships/hyperlink" Target="https://www.cidp.pt/revistas/rjlb/2019/2/2019_02_0305_0348.pdf" TargetMode="External"/><Relationship Id="rId66" Type="http://schemas.openxmlformats.org/officeDocument/2006/relationships/hyperlink" Target="https://cej.justica.gov.pt/LinkClick.aspx?fileticket=VpuQj7jZ-us%3D&amp;portalid=30" TargetMode="External"/><Relationship Id="rId67" Type="http://schemas.openxmlformats.org/officeDocument/2006/relationships/hyperlink" Target="https://jurisprudencia.pt/acordao/76412/" TargetMode="External"/><Relationship Id="rId68" Type="http://schemas.openxmlformats.org/officeDocument/2006/relationships/hyperlink" Target="https://trc.pt/responsabilidade-civil-danos-causados-por-animais-dever-de-vigilancia/" TargetMode="External"/><Relationship Id="rId69" Type="http://schemas.openxmlformats.org/officeDocument/2006/relationships/hyperlink" Target="https://jurisprudencia.pt/acordao/128487/" TargetMode="External"/><Relationship Id="rId70" Type="http://schemas.openxmlformats.org/officeDocument/2006/relationships/hyperlink" Target="https://www.tribunalconstitucional.pt/tc/acordaos/20210867.html" TargetMode="External"/><Relationship Id="rId71" Type="http://schemas.openxmlformats.org/officeDocument/2006/relationships/hyperlink" Target="https://www.tribunalconstitucional.pt/tc/acordaos/20240070.html" TargetMode="External"/><Relationship Id="rId72" Type="http://schemas.openxmlformats.org/officeDocument/2006/relationships/hyperlink" Target="https://jurisprudencia.pt/acordao/221373/" TargetMode="External"/><Relationship Id="rId73" Type="http://schemas.openxmlformats.org/officeDocument/2006/relationships/hyperlink" Target="https://www.tribunalconstitucional.pt/tc/acordaos/20240478.html" TargetMode="External"/><Relationship Id="rId74" Type="http://schemas.openxmlformats.org/officeDocument/2006/relationships/hyperlink" Target="https://www.dgsi.pt/jtrl.nsf/33182fc732316039802565fa00497eec/7462ba7a0546bac680258c8b0049a31e?OpenDocument" TargetMode="External"/><Relationship Id="rId75" Type="http://schemas.openxmlformats.org/officeDocument/2006/relationships/hyperlink" Target="https://www.dgsi.pt/jtrp.nsf/56a6e7121657f91e80257cda00381fdf/703e8b815ea39ece80258b34004b8157" TargetMode="External"/><Relationship Id="rId76" Type="http://schemas.openxmlformats.org/officeDocument/2006/relationships/hyperlink" Target="https://www.nature.com/articles/ncomms2380" TargetMode="External"/><Relationship Id="rId77" Type="http://schemas.openxmlformats.org/officeDocument/2006/relationships/hyperlink" Target="https://doi.org/10.2460/javma.2005.227.1775" TargetMode="External"/><Relationship Id="rId78" Type="http://schemas.openxmlformats.org/officeDocument/2006/relationships/hyperlink" Target="https://www.frontiersin.org/journals/veterinary-science/articles/10.3389/fvets.2019.00238/full" TargetMode="External"/><Relationship Id="rId79" Type="http://schemas.openxmlformats.org/officeDocument/2006/relationships/hyperlink" Target="https://www.frontiersin.org/journals/veterinary-science/articles/10.3389/fvets.2019.00077/full" TargetMode="External"/><Relationship Id="rId80" Type="http://schemas.openxmlformats.org/officeDocument/2006/relationships/hyperlink" Target="https://doi.org/10.1093/jel/eqz035" TargetMode="External"/><Relationship Id="rId81" Type="http://schemas.openxmlformats.org/officeDocument/2006/relationships/hyperlink" Target="https://pmc.ncbi.nlm.nih.gov/articles/PMC9169806/" TargetMode="External"/><Relationship Id="rId82" Type="http://schemas.openxmlformats.org/officeDocument/2006/relationships/hyperlink" Target="https://pmc.ncbi.nlm.nih.gov/articles/PMC11939513/" TargetMode="External"/><Relationship Id="rId83" Type="http://schemas.openxmlformats.org/officeDocument/2006/relationships/hyperlink" Target="https://dspace.uevora.pt/rdpc/bitstream/10174/38522/1/Gal%C3%A3o%20et%20al_2025_When%20pets%20go%20wild.pdf" TargetMode="External"/><Relationship Id="rId8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