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1.41</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0"/>
        <w:ind w:left="567"/>
      </w:pPr>
      <w:r>
        <w:rPr>
          <w:b w:val="0"/>
          <w:i w:val="0"/>
        </w:rPr>
        <w:t>D-05. O registo do treino no SIAC fica sem perfil de acesso, sem coima e sem regime transitório</w:t>
      </w:r>
    </w:p>
    <w:p>
      <w:pPr>
        <w:spacing w:after="0"/>
        <w:ind w:left="567"/>
      </w:pPr>
      <w:r>
        <w:rPr>
          <w:b w:val="0"/>
          <w:i w:val="0"/>
        </w:rPr>
        <w:t>D-06. Nada diz quem decide se um cão é cruzamento de raça potencialmente perigosa, com que critério, nem como se contesta</w:t>
      </w:r>
    </w:p>
    <w:p>
      <w:pPr>
        <w:spacing w:after="0"/>
        <w:ind w:left="567"/>
      </w:pPr>
      <w:r>
        <w:rPr>
          <w:b w:val="0"/>
          <w:i w:val="0"/>
        </w:rPr>
        <w:t>D-07. A certificação dos treinadores inclui defesa e mordedura, e nada diz o que o treino do cão deve atingir nem como se avalia</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pPr>
        <w:pStyle w:val="Heading2"/>
      </w:pPr>
      <w:r>
        <w:rPr>
          <w:i w:val="0"/>
          <w:color w:val="000000"/>
        </w:rPr>
        <w:t>D-05.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 art. 122.º, n.º 4; art. 140.º; art. 73.º, n.º 1; DL 315/2009, art. 28.º, n.ºs 1 e 2, e art. 38.º, n.º 1, als. m) e p)</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D-04</w:t>
            </w:r>
          </w:p>
        </w:tc>
      </w:tr>
    </w:tbl>
    <w:p/>
    <w:p>
      <w:pPr>
        <w:pStyle w:val="Heading2"/>
      </w:pPr>
      <w:r>
        <w:rPr>
          <w:i w:val="0"/>
          <w:color w:val="000000"/>
        </w:rPr>
        <w:t>D-06.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 art. 79.º, n.º 7; art. 126.º, n.º 3; art. 120.º, n.º 5; DL 315/2009, art. 3.º, al. c), e art. 19.º, n.º 3; Portaria 422/2004, anexo; DL 276/2001, art. 53.º,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As normas de esterilização não repetem a condição da tipologia. O art. 3.º, al. c), do DL 315/2009 só inclui os cruzamentos com outras raças quando deles resulte «uma tipologia semelhante», mas o art. 16.º, n.º 2 manda esterilizar «os cruzamentos daquelas raças entre si ou com outras» e o art. 19.º, n.º 3 «os resultantes dos cruzamentos daquelas raças entre si e destas com outras», sem essa condição. O RGAC repete a fórmula (art. 126.º, n.º 3). Um cão com um progenitor de raça listada, mas sem a tipologia, fica com a esterilização em dúvida.</w:t>
            </w:r>
          </w:p>
          <w:p>
            <w:pPr>
              <w:spacing w:after="60"/>
            </w:pPr>
            <w:r>
              <w:rPr>
                <w:b w:val="0"/>
                <w:sz w:val="20"/>
              </w:rPr>
              <w:t>Nada diz que valor tem uma avaliação morfológica feita no estrangeiro. O cão que entra de outro país e fica 120 dias ou mais é registado no SIAC por quem o regista em Portugal (DL 82/2019, art. 11.º, n.ºs 1 e 2), e o cão das raças listadas ou cruzamento que fique mais de quatro meses é esterilizado (DL 315/2009, art. 16.º, n.º 2).</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 (iv) Alinhar o art. 126.º, n.º 3 com a definição: só os cruzamentos de que resulte tipologia semelhante. (v) Dizer que a avaliação é feita em Portugal, podendo o relatório de médico veterinário estrangeiro ser junto como elemento de prova.</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D-01</w:t>
            </w:r>
          </w:p>
        </w:tc>
      </w:tr>
    </w:tbl>
    <w:p/>
    <w:p>
      <w:pPr>
        <w:pStyle w:val="Heading2"/>
      </w:pPr>
      <w:r>
        <w:rPr>
          <w:i w:val="0"/>
          <w:color w:val="000000"/>
        </w:rPr>
        <w:t>D-07.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 art. 128.º, n.º 1; art. 9.º, n.º 1, al. g); Portaria 317/2015, Anexo II, art. 3.º, n.º 3; DL 315/2009, art. 21.º, n.º 1, e art. 28.º, n.º 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D-05</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D-05</w:t>
            </w:r>
          </w:p>
        </w:tc>
        <w:tc>
          <w:tcPr>
            <w:tcW w:w="5216" w:type="dxa"/>
          </w:tcPr>
          <w:p>
            <w:pPr>
              <w:spacing w:after="60"/>
            </w:pPr>
            <w:r/>
            <w:r>
              <w:rPr>
                <w:b w:val="0"/>
                <w:sz w:val="20"/>
              </w:rPr>
              <w:t>O registo do treino no SIAC fica sem perfil de acesso, sem coima e sem regime transitório</w:t>
            </w:r>
          </w:p>
        </w:tc>
        <w:tc>
          <w:tcPr>
            <w:tcW w:w="3969" w:type="dxa"/>
          </w:tcPr>
          <w:p>
            <w:pPr>
              <w:spacing w:after="60"/>
            </w:pPr>
            <w:r/>
            <w:r>
              <w:rPr>
                <w:b w:val="0"/>
                <w:sz w:val="20"/>
              </w:rPr>
              <w:t>art. 135.º,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D-06</w:t>
            </w:r>
          </w:p>
        </w:tc>
        <w:tc>
          <w:tcPr>
            <w:tcW w:w="5216" w:type="dxa"/>
          </w:tcPr>
          <w:p>
            <w:pPr>
              <w:spacing w:after="60"/>
            </w:pPr>
            <w:r/>
            <w:r>
              <w:rPr>
                <w:b w:val="0"/>
                <w:sz w:val="20"/>
              </w:rPr>
              <w:t>Nada diz quem decide se um cão é cruzamento de raça potencialmente perigosa, com que critério, nem como se contesta</w:t>
            </w:r>
          </w:p>
        </w:tc>
        <w:tc>
          <w:tcPr>
            <w:tcW w:w="3969" w:type="dxa"/>
          </w:tcPr>
          <w:p>
            <w:pPr>
              <w:spacing w:after="60"/>
            </w:pPr>
            <w:r/>
            <w:r>
              <w:rPr>
                <w:b w:val="0"/>
                <w:sz w:val="20"/>
              </w:rPr>
              <w:t>art. 3.º, definição de «Animal potencialmente perigoso»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D-07</w:t>
            </w:r>
          </w:p>
        </w:tc>
        <w:tc>
          <w:tcPr>
            <w:tcW w:w="5216" w:type="dxa"/>
          </w:tcPr>
          <w:p>
            <w:pPr>
              <w:spacing w:after="60"/>
            </w:pPr>
            <w:r/>
            <w:r>
              <w:rPr>
                <w:b w:val="0"/>
                <w:sz w:val="20"/>
              </w:rPr>
              <w:t>A certificação dos treinadores inclui defesa e mordedura, e nada diz o que o treino do cão deve atingir nem como se avalia</w:t>
            </w:r>
          </w:p>
        </w:tc>
        <w:tc>
          <w:tcPr>
            <w:tcW w:w="3969" w:type="dxa"/>
          </w:tcPr>
          <w:p>
            <w:pPr>
              <w:spacing w:after="60"/>
            </w:pPr>
            <w:r/>
            <w:r>
              <w:rPr>
                <w:b w:val="0"/>
                <w:sz w:val="20"/>
              </w:rPr>
              <w:t>art. 133.º,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58 fichas, das quais 54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temas deste memorando. Não se usam notícias de imprensa. As citações estão entre aspas e foram transcritas das fontes indicadas. A coluna Tema usa as letras da secção 1. Tema T: Titular, detentor, proprietário e operador. Tema C: Programas CED, colónias e animais errantes. Tema D: Animais perigosos e potencialmente perigosos (cap. XIV).</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907" w:type="dxa"/>
          </w:tcPr>
          <w:p>
            <w:pPr>
              <w:spacing w:after="60"/>
            </w:pPr>
            <w:r/>
            <w:r>
              <w:rPr>
                <w:b w:val="0"/>
                <w:sz w:val="20"/>
              </w:rPr>
              <w:t>D</w:t>
            </w:r>
          </w:p>
        </w:tc>
        <w:tc>
          <w:tcPr>
            <w:tcW w:w="6860"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907" w:type="dxa"/>
          </w:tcPr>
          <w:p>
            <w:pPr>
              <w:spacing w:after="60"/>
            </w:pPr>
            <w:r/>
            <w:r>
              <w:rPr>
                <w:b w:val="0"/>
                <w:sz w:val="20"/>
              </w:rPr>
              <w:t>D</w:t>
            </w:r>
          </w:p>
        </w:tc>
        <w:tc>
          <w:tcPr>
            <w:tcW w:w="6860"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907" w:type="dxa"/>
          </w:tcPr>
          <w:p>
            <w:pPr>
              <w:spacing w:after="60"/>
            </w:pPr>
            <w:r/>
            <w:r>
              <w:rPr>
                <w:b w:val="0"/>
                <w:sz w:val="20"/>
              </w:rPr>
              <w:t>D</w:t>
            </w:r>
          </w:p>
        </w:tc>
        <w:tc>
          <w:tcPr>
            <w:tcW w:w="6860"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907" w:type="dxa"/>
          </w:tcPr>
          <w:p>
            <w:pPr>
              <w:spacing w:after="60"/>
            </w:pPr>
            <w:r/>
            <w:r>
              <w:rPr>
                <w:b w:val="0"/>
                <w:sz w:val="20"/>
              </w:rPr>
              <w:t>D</w:t>
            </w:r>
          </w:p>
        </w:tc>
        <w:tc>
          <w:tcPr>
            <w:tcW w:w="6860"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907" w:type="dxa"/>
          </w:tcPr>
          <w:p>
            <w:pPr>
              <w:spacing w:after="60"/>
            </w:pPr>
            <w:r/>
            <w:r>
              <w:rPr>
                <w:b w:val="0"/>
                <w:sz w:val="20"/>
              </w:rPr>
              <w:t>D</w:t>
            </w:r>
          </w:p>
        </w:tc>
        <w:tc>
          <w:tcPr>
            <w:tcW w:w="6860"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 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D-05,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 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D-05,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020" w:type="dxa"/>
          </w:tcPr>
          <w:p>
            <w:pPr>
              <w:spacing w:after="60"/>
            </w:pPr>
            <w:r/>
            <w:r>
              <w:rPr>
                <w:b w:val="0"/>
                <w:sz w:val="20"/>
              </w:rPr>
              <w:t>1.36</w:t>
            </w:r>
          </w:p>
        </w:tc>
        <w:tc>
          <w:tcPr>
            <w:tcW w:w="1417" w:type="dxa"/>
          </w:tcPr>
          <w:p>
            <w:pPr>
              <w:spacing w:after="60"/>
            </w:pPr>
            <w:r/>
            <w:r>
              <w:rPr>
                <w:b w:val="0"/>
                <w:sz w:val="20"/>
              </w:rPr>
              <w:t>23.10.2026</w:t>
            </w:r>
          </w:p>
        </w:tc>
        <w:tc>
          <w:tcPr>
            <w:tcW w:w="6633"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020" w:type="dxa"/>
          </w:tcPr>
          <w:p>
            <w:pPr>
              <w:spacing w:after="60"/>
            </w:pPr>
            <w:r/>
            <w:r>
              <w:rPr>
                <w:b w:val="0"/>
                <w:sz w:val="20"/>
              </w:rPr>
              <w:t>1.37</w:t>
            </w:r>
          </w:p>
        </w:tc>
        <w:tc>
          <w:tcPr>
            <w:tcW w:w="1417" w:type="dxa"/>
          </w:tcPr>
          <w:p>
            <w:pPr>
              <w:spacing w:after="60"/>
            </w:pPr>
            <w:r/>
            <w:r>
              <w:rPr>
                <w:b w:val="0"/>
                <w:sz w:val="20"/>
              </w:rPr>
              <w:t>23.10.2026</w:t>
            </w:r>
          </w:p>
        </w:tc>
        <w:tc>
          <w:tcPr>
            <w:tcW w:w="6633"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020" w:type="dxa"/>
          </w:tcPr>
          <w:p>
            <w:pPr>
              <w:spacing w:after="60"/>
            </w:pPr>
            <w:r/>
            <w:r>
              <w:rPr>
                <w:b w:val="0"/>
                <w:sz w:val="20"/>
              </w:rPr>
              <w:t>1.38</w:t>
            </w:r>
          </w:p>
        </w:tc>
        <w:tc>
          <w:tcPr>
            <w:tcW w:w="1417" w:type="dxa"/>
          </w:tcPr>
          <w:p>
            <w:pPr>
              <w:spacing w:after="60"/>
            </w:pPr>
            <w:r/>
            <w:r>
              <w:rPr>
                <w:b w:val="0"/>
                <w:sz w:val="20"/>
              </w:rPr>
              <w:t>23.10.2026</w:t>
            </w:r>
          </w:p>
        </w:tc>
        <w:tc>
          <w:tcPr>
            <w:tcW w:w="6633"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020" w:type="dxa"/>
          </w:tcPr>
          <w:p>
            <w:pPr>
              <w:spacing w:after="60"/>
            </w:pPr>
            <w:r/>
            <w:r>
              <w:rPr>
                <w:b w:val="0"/>
                <w:sz w:val="20"/>
              </w:rPr>
              <w:t>1.39</w:t>
            </w:r>
          </w:p>
        </w:tc>
        <w:tc>
          <w:tcPr>
            <w:tcW w:w="1417" w:type="dxa"/>
          </w:tcPr>
          <w:p>
            <w:pPr>
              <w:spacing w:after="60"/>
            </w:pPr>
            <w:r/>
            <w:r>
              <w:rPr>
                <w:b w:val="0"/>
                <w:sz w:val="20"/>
              </w:rPr>
              <w:t>23.10.2026</w:t>
            </w:r>
          </w:p>
        </w:tc>
        <w:tc>
          <w:tcPr>
            <w:tcW w:w="6633"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020" w:type="dxa"/>
          </w:tcPr>
          <w:p>
            <w:pPr>
              <w:spacing w:after="60"/>
            </w:pPr>
            <w:r/>
            <w:r>
              <w:rPr>
                <w:b w:val="0"/>
                <w:sz w:val="20"/>
              </w:rPr>
              <w:t>1.40</w:t>
            </w:r>
          </w:p>
        </w:tc>
        <w:tc>
          <w:tcPr>
            <w:tcW w:w="1417" w:type="dxa"/>
          </w:tcPr>
          <w:p>
            <w:pPr>
              <w:spacing w:after="60"/>
            </w:pPr>
            <w:r/>
            <w:r>
              <w:rPr>
                <w:b w:val="0"/>
                <w:sz w:val="20"/>
              </w:rPr>
              <w:t>23.10.2026</w:t>
            </w:r>
          </w:p>
        </w:tc>
        <w:tc>
          <w:tcPr>
            <w:tcW w:w="6633"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r>
        <w:tc>
          <w:tcPr>
            <w:tcW w:w="1020" w:type="dxa"/>
          </w:tcPr>
          <w:p>
            <w:pPr>
              <w:spacing w:after="60"/>
            </w:pPr>
            <w:r/>
            <w:r>
              <w:rPr>
                <w:b w:val="0"/>
                <w:sz w:val="20"/>
              </w:rPr>
              <w:t>1.41</w:t>
            </w:r>
          </w:p>
        </w:tc>
        <w:tc>
          <w:tcPr>
            <w:tcW w:w="1417" w:type="dxa"/>
          </w:tcPr>
          <w:p>
            <w:pPr>
              <w:spacing w:after="60"/>
            </w:pPr>
            <w:r/>
            <w:r>
              <w:rPr>
                <w:b w:val="0"/>
                <w:sz w:val="20"/>
              </w:rPr>
              <w:t>23.10.2026</w:t>
            </w:r>
          </w:p>
        </w:tc>
        <w:tc>
          <w:tcPr>
            <w:tcW w:w="6633" w:type="dxa"/>
          </w:tcPr>
          <w:p>
            <w:pPr>
              <w:spacing w:after="60"/>
            </w:pPr>
            <w:r/>
            <w:r>
              <w:rPr>
                <w:b w:val="0"/>
                <w:sz w:val="20"/>
              </w:rPr>
              <w:t>Ficha D-06 completada: o DL 315/2009, arts. 16.º, n.º 2, e 19.º, n.º 3, e o RGAC, art. 126.º, n.º 3, mandam esterilizar os cruzamentos sem a condição de tipologia do art. 3.º, al. c); e nada diz que valor tem uma avaliação morfológica feita no estrangeiro. Origem: pedido de esclarecimento sobre um cão de raça cruzada a trazer de um país terceiro.</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1.41.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