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1.34</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0"/>
        <w:ind w:left="567"/>
      </w:pPr>
      <w:r>
        <w:rPr>
          <w:b w:val="0"/>
          <w:i w:val="0"/>
        </w:rPr>
        <w:t>P-50.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P-53. Associação titular de cão perigoso: falta a regra da licença e a adoção fica entre duas normas contrárias (art. 110.º)</w:t>
      </w:r>
    </w:p>
    <w:p>
      <w:pPr>
        <w:spacing w:after="0"/>
        <w:ind w:left="567"/>
      </w:pPr>
      <w:r>
        <w:rPr>
          <w:b w:val="0"/>
          <w:i w:val="0"/>
        </w:rPr>
        <w:t>P-49. Duas vias para retirar a classificação de perigoso, sem ligação entre elas (art. 120.º)</w:t>
      </w:r>
    </w:p>
    <w:p>
      <w:pPr>
        <w:spacing w:after="0"/>
        <w:ind w:left="567"/>
      </w:pPr>
      <w:r>
        <w:rPr>
          <w:b w:val="0"/>
          <w:i w:val="0"/>
        </w:rPr>
        <w:t>P-54. O treino começa entre os 6 e os 12 meses, o que não serve o cão classificado como perigoso já adulto (art. 128.º)</w:t>
      </w:r>
    </w:p>
    <w:p>
      <w:pPr>
        <w:spacing w:after="40"/>
      </w:pPr>
    </w:p>
    <w:p>
      <w:pPr>
        <w:spacing w:after="40"/>
      </w:pPr>
      <w:r>
        <w:rPr>
          <w:b/>
          <w:i w:val="0"/>
        </w:rPr>
        <w:t>10. Capítulo XV. Medidas administrativas, fiscalização e contraordenações</w:t>
      </w:r>
    </w:p>
    <w:p>
      <w:pPr>
        <w:spacing w:after="0"/>
        <w:ind w:left="567"/>
      </w:pPr>
      <w:r>
        <w:rPr>
          <w:b w:val="0"/>
          <w:i w:val="0"/>
        </w:rPr>
        <w:t>P-52. O dever geral de colaboração de terceiros e a coima por recusa de informações não passam para o RGAC (art. 138.º)</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0"/>
        <w:ind w:left="567"/>
      </w:pPr>
      <w:r>
        <w:rPr>
          <w:b w:val="0"/>
          <w:i w:val="0"/>
        </w:rPr>
        <w:t>P-51.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P-53,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pPr>
        <w:pStyle w:val="Heading2"/>
      </w:pPr>
      <w:r>
        <w:rPr>
          <w:i w:val="0"/>
          <w:color w:val="000000"/>
        </w:rPr>
        <w:t>P-50.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P-51).</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P-51, P-47, P-45, P-48</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P-53.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P-08, P-49</w:t>
            </w:r>
          </w:p>
        </w:tc>
      </w:tr>
    </w:tbl>
    <w:p/>
    <w:p>
      <w:pPr>
        <w:pStyle w:val="Heading2"/>
      </w:pPr>
      <w:r>
        <w:rPr>
          <w:i w:val="0"/>
          <w:color w:val="000000"/>
        </w:rPr>
        <w:t>P-49.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P-54.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w:t>
            </w:r>
          </w:p>
          <w:p>
            <w:pPr>
              <w:spacing w:after="60"/>
            </w:pPr>
            <w:r>
              <w:rPr>
                <w:b w:val="0"/>
                <w:sz w:val="20"/>
              </w:rPr>
              <w:t>art. 122.º, n.ºs 3 a 5</w:t>
            </w:r>
          </w:p>
          <w:p>
            <w:pPr>
              <w:spacing w:after="60"/>
            </w:pPr>
            <w:r>
              <w:rPr>
                <w:b w:val="0"/>
                <w:sz w:val="20"/>
              </w:rPr>
              <w:t>art. 126.º, n.º 6</w:t>
            </w:r>
          </w:p>
          <w:p>
            <w:pPr>
              <w:spacing w:after="60"/>
            </w:pPr>
            <w:r>
              <w:rPr>
                <w:b w:val="0"/>
                <w:sz w:val="20"/>
              </w:rPr>
              <w:t>art. 135.º, n.º 2</w:t>
            </w:r>
          </w:p>
          <w:p>
            <w:pPr>
              <w:spacing w:after="60"/>
            </w:pPr>
            <w:r>
              <w:rPr>
                <w:b w:val="0"/>
                <w:sz w:val="20"/>
              </w:rPr>
              <w:t>DL 315/2009, art. 15.º, n.ºs 3 e 4, art. 21.º, art. 28.º, n.º 2, e art. 38.º, n.º 1, al. m)</w:t>
            </w:r>
          </w:p>
          <w:p>
            <w:pPr>
              <w:spacing w:after="60"/>
            </w:pPr>
            <w:r>
              <w:rPr>
                <w:b w:val="0"/>
                <w:sz w:val="20"/>
              </w:rPr>
              <w:t>Artigo principal: art. 128.º, Obrigatoriedade de treino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P-53</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P-52.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P-42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P-42).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w:t>
            </w:r>
          </w:p>
        </w:tc>
      </w:tr>
    </w:tbl>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pPr>
        <w:pStyle w:val="Heading2"/>
      </w:pPr>
      <w:r>
        <w:rPr>
          <w:i w:val="0"/>
          <w:color w:val="000000"/>
        </w:rPr>
        <w:t>P-51.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P-50, P-47</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P-50</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P-53</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P-49</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P-54</w:t>
            </w:r>
          </w:p>
        </w:tc>
        <w:tc>
          <w:tcPr>
            <w:tcW w:w="4309" w:type="dxa"/>
          </w:tcPr>
          <w:p>
            <w:pPr>
              <w:spacing w:after="60"/>
            </w:pPr>
            <w:r/>
            <w:r>
              <w:rPr>
                <w:b w:val="0"/>
                <w:sz w:val="20"/>
              </w:rPr>
              <w:t>O treino começa entre os 6 e os 12 meses, o que não serve o cão classificado como perigoso já adulto</w:t>
            </w:r>
          </w:p>
        </w:tc>
        <w:tc>
          <w:tcPr>
            <w:tcW w:w="3628" w:type="dxa"/>
          </w:tcPr>
          <w:p>
            <w:pPr>
              <w:spacing w:after="60"/>
            </w:pPr>
            <w:r/>
            <w:r>
              <w:rPr>
                <w:b w:val="0"/>
                <w:sz w:val="20"/>
              </w:rPr>
              <w:t>art. 128.º, Obrigatoriedade de treino</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P-52</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P-51</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54 fichas, das quais 50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69</w:t>
            </w:r>
          </w:p>
        </w:tc>
        <w:tc>
          <w:tcPr>
            <w:tcW w:w="1701" w:type="dxa"/>
          </w:tcPr>
          <w:p>
            <w:pPr>
              <w:spacing w:after="60"/>
            </w:pPr>
            <w:r/>
            <w:r>
              <w:rPr>
                <w:b/>
                <w:sz w:val="20"/>
              </w:rPr>
              <w:t>84</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P-50,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P-50, P-51,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P-50,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 P-53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P-53,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P-49, P-53,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P-54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P-49, P-54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P-53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P-54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P-54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P-52,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 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 P-50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P-52,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P-50, P-51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(22)</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(12)</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(6)</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pStyle w:val="Heading2"/>
      </w:pPr>
      <w:r>
        <w:rPr>
          <w:i w:val="0"/>
          <w:color w:val="000000"/>
        </w:rPr>
        <w:t>Fiscalização e contraordenações (9)</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(6)</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P-54. O treino começa entre os 6 e os 12 meses, o que não serve o cão classificado como perigoso já adulto (art. 128.º, cap. XIV)</w:t>
      </w:r>
    </w:p>
    <w:p>
      <w:pPr>
        <w:spacing w:after="20"/>
        <w:ind w:left="454"/>
      </w:pPr>
      <w:r>
        <w:rPr>
          <w:b w:val="0"/>
          <w:i w:val="0"/>
        </w:rPr>
        <w:t>P-43. A revogação total da Lei 92/95 apaga normas que não tratam de animais de companhia (art. 149.º, cap. XVI)</w:t>
      </w:r>
    </w:p>
    <w:p>
      <w:pPr>
        <w:pStyle w:val="Heading2"/>
      </w:pPr>
      <w:r>
        <w:rPr>
          <w:i w:val="0"/>
          <w:color w:val="000000"/>
        </w:rPr>
        <w:t>Animais perigosos (3)</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P-54. O treino começa entre os 6 e os 12 meses, o que não serve o cão classificado como perigoso já adulto (art. 128.º, cap. XIV)</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r>
        <w:tc>
          <w:tcPr>
            <w:tcW w:w="1417" w:type="dxa"/>
          </w:tcPr>
          <w:p>
            <w:pPr>
              <w:spacing w:after="60"/>
            </w:pPr>
            <w:r/>
            <w:r>
              <w:rPr>
                <w:b w:val="0"/>
                <w:sz w:val="20"/>
              </w:rPr>
              <w:t>D-01</w:t>
            </w:r>
          </w:p>
        </w:tc>
        <w:tc>
          <w:tcPr>
            <w:tcW w:w="1417" w:type="dxa"/>
          </w:tcPr>
          <w:p>
            <w:pPr>
              <w:spacing w:after="60"/>
            </w:pPr>
            <w:r/>
            <w:r>
              <w:rPr>
                <w:b w:val="0"/>
                <w:sz w:val="20"/>
              </w:rPr>
              <w:t>P-49</w:t>
            </w:r>
          </w:p>
        </w:tc>
        <w:tc>
          <w:tcPr>
            <w:tcW w:w="6236" w:type="dxa"/>
          </w:tcPr>
          <w:p>
            <w:pPr>
              <w:spacing w:after="60"/>
            </w:pPr>
            <w:r/>
            <w:r>
              <w:rPr>
                <w:b w:val="0"/>
                <w:sz w:val="20"/>
              </w:rPr>
              <w:t>Duas vias para retirar a classificação de perigoso, sem ligação entre elas</w:t>
            </w:r>
          </w:p>
        </w:tc>
      </w:tr>
      <w:tr>
        <w:tc>
          <w:tcPr>
            <w:tcW w:w="1417" w:type="dxa"/>
          </w:tcPr>
          <w:p>
            <w:pPr>
              <w:spacing w:after="60"/>
            </w:pPr>
            <w:r/>
            <w:r>
              <w:rPr>
                <w:b w:val="0"/>
                <w:sz w:val="20"/>
              </w:rPr>
              <w:t>D-02</w:t>
            </w:r>
          </w:p>
        </w:tc>
        <w:tc>
          <w:tcPr>
            <w:tcW w:w="1417" w:type="dxa"/>
          </w:tcPr>
          <w:p>
            <w:pPr>
              <w:spacing w:after="60"/>
            </w:pPr>
            <w:r/>
            <w:r>
              <w:rPr>
                <w:b w:val="0"/>
                <w:sz w:val="20"/>
              </w:rPr>
              <w:t>P-53</w:t>
            </w:r>
          </w:p>
        </w:tc>
        <w:tc>
          <w:tcPr>
            <w:tcW w:w="6236" w:type="dxa"/>
          </w:tcPr>
          <w:p>
            <w:pPr>
              <w:spacing w:after="60"/>
            </w:pPr>
            <w:r/>
            <w:r>
              <w:rPr>
                <w:b w:val="0"/>
                <w:sz w:val="20"/>
              </w:rPr>
              <w:t>Associação titular de cão perigoso: falta a regra da licença e a adoção fica entre duas normas contrárias</w:t>
            </w:r>
          </w:p>
        </w:tc>
      </w:tr>
      <w:tr>
        <w:tc>
          <w:tcPr>
            <w:tcW w:w="1417" w:type="dxa"/>
          </w:tcPr>
          <w:p>
            <w:pPr>
              <w:spacing w:after="60"/>
            </w:pPr>
            <w:r/>
            <w:r>
              <w:rPr>
                <w:b w:val="0"/>
                <w:sz w:val="20"/>
              </w:rPr>
              <w:t>D-03</w:t>
            </w:r>
          </w:p>
        </w:tc>
        <w:tc>
          <w:tcPr>
            <w:tcW w:w="1417" w:type="dxa"/>
          </w:tcPr>
          <w:p>
            <w:pPr>
              <w:spacing w:after="60"/>
            </w:pPr>
            <w:r/>
            <w:r>
              <w:rPr>
                <w:b w:val="0"/>
                <w:sz w:val="20"/>
              </w:rPr>
              <w:t>P-54</w:t>
            </w:r>
          </w:p>
        </w:tc>
        <w:tc>
          <w:tcPr>
            <w:tcW w:w="6236" w:type="dxa"/>
          </w:tcPr>
          <w:p>
            <w:pPr>
              <w:spacing w:after="60"/>
            </w:pPr>
            <w:r/>
            <w:r>
              <w:rPr>
                <w:b w:val="0"/>
                <w:sz w:val="20"/>
              </w:rPr>
              <w:t>O treino começa entre os 6 e os 12 meses, o que não serve o cão classificado como perigoso já adulto</w:t>
            </w:r>
          </w:p>
        </w:tc>
      </w:tr>
      <w:tr>
        <w:tc>
          <w:tcPr>
            <w:tcW w:w="1417" w:type="dxa"/>
          </w:tcPr>
          <w:p>
            <w:pPr>
              <w:spacing w:after="60"/>
            </w:pPr>
            <w:r/>
            <w:r>
              <w:rPr>
                <w:b w:val="0"/>
                <w:sz w:val="20"/>
              </w:rPr>
              <w:t>E-02</w:t>
            </w:r>
          </w:p>
        </w:tc>
        <w:tc>
          <w:tcPr>
            <w:tcW w:w="1417" w:type="dxa"/>
          </w:tcPr>
          <w:p>
            <w:pPr>
              <w:spacing w:after="60"/>
            </w:pPr>
            <w:r/>
            <w:r>
              <w:rPr>
                <w:b w:val="0"/>
                <w:sz w:val="20"/>
              </w:rPr>
              <w:t>P-50</w:t>
            </w:r>
          </w:p>
        </w:tc>
        <w:tc>
          <w:tcPr>
            <w:tcW w:w="6236" w:type="dxa"/>
          </w:tcPr>
          <w:p>
            <w:pPr>
              <w:spacing w:after="60"/>
            </w:pPr>
            <w:r/>
            <w:r>
              <w:rPr>
                <w:b w:val="0"/>
                <w:sz w:val="20"/>
              </w:rPr>
              <w:t>O encerramento de estabelecimentos fica sem medida cautelar, sem regra para os animais e sem efeito no registo</w:t>
            </w:r>
          </w:p>
        </w:tc>
      </w:tr>
      <w:tr>
        <w:tc>
          <w:tcPr>
            <w:tcW w:w="1417" w:type="dxa"/>
          </w:tcPr>
          <w:p>
            <w:pPr>
              <w:spacing w:after="60"/>
            </w:pPr>
            <w:r/>
            <w:r>
              <w:rPr>
                <w:b w:val="0"/>
                <w:sz w:val="20"/>
              </w:rPr>
              <w:t>S-03</w:t>
            </w:r>
          </w:p>
        </w:tc>
        <w:tc>
          <w:tcPr>
            <w:tcW w:w="1417" w:type="dxa"/>
          </w:tcPr>
          <w:p>
            <w:pPr>
              <w:spacing w:after="60"/>
            </w:pPr>
            <w:r/>
            <w:r>
              <w:rPr>
                <w:b w:val="0"/>
                <w:sz w:val="20"/>
              </w:rPr>
              <w:t>P-51</w:t>
            </w:r>
          </w:p>
        </w:tc>
        <w:tc>
          <w:tcPr>
            <w:tcW w:w="6236" w:type="dxa"/>
          </w:tcPr>
          <w:p>
            <w:pPr>
              <w:spacing w:after="60"/>
            </w:pPr>
            <w:r/>
            <w:r>
              <w:rPr>
                <w:b w:val="0"/>
                <w:sz w:val="20"/>
              </w:rPr>
              <w:t>As sanções acessórias perdem a interdição do exercício da atividade</w:t>
            </w:r>
          </w:p>
        </w:tc>
      </w:tr>
      <w:tr>
        <w:tc>
          <w:tcPr>
            <w:tcW w:w="1417" w:type="dxa"/>
          </w:tcPr>
          <w:p>
            <w:pPr>
              <w:spacing w:after="60"/>
            </w:pPr>
            <w:r/>
            <w:r>
              <w:rPr>
                <w:b w:val="0"/>
                <w:sz w:val="20"/>
              </w:rPr>
              <w:t>S-04</w:t>
            </w:r>
          </w:p>
        </w:tc>
        <w:tc>
          <w:tcPr>
            <w:tcW w:w="1417" w:type="dxa"/>
          </w:tcPr>
          <w:p>
            <w:pPr>
              <w:spacing w:after="60"/>
            </w:pPr>
            <w:r/>
            <w:r>
              <w:rPr>
                <w:b w:val="0"/>
                <w:sz w:val="20"/>
              </w:rPr>
              <w:t>P-52</w:t>
            </w:r>
          </w:p>
        </w:tc>
        <w:tc>
          <w:tcPr>
            <w:tcW w:w="6236"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1.34</w:t>
            </w:r>
          </w:p>
        </w:tc>
        <w:tc>
          <w:tcPr>
            <w:tcW w:w="1417" w:type="dxa"/>
          </w:tcPr>
          <w:p>
            <w:pPr>
              <w:spacing w:after="60"/>
            </w:pPr>
            <w:r/>
            <w:r>
              <w:rPr>
                <w:b w:val="0"/>
                <w:sz w:val="20"/>
              </w:rPr>
              <w:t>23.10.2026</w:t>
            </w:r>
          </w:p>
        </w:tc>
        <w:tc>
          <w:tcPr>
            <w:tcW w:w="6406"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1.34.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