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Preâmbulo — Divisão por Temas</w:t>
      </w:r>
    </w:p>
    <w:p>
      <w:pPr>
        <w:jc w:val="center"/>
      </w:pPr>
      <w:r>
        <w:rPr>
          <w:i/>
          <w:color w:val="646464"/>
          <w:sz w:val="22"/>
        </w:rPr>
        <w:t>Regulamento (UE) 2023/0447 — Considerandos organizados por tema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460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2592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Considerandos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Âmbito e Exclusões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19, 20, 21, 22, 23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Motivos e Objetivos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1, 2, 7, 16, 17, 3, 4, 5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Abrigos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27, 28, 84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Alojamento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Amarração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Autoridades Competentes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Cães de guarda de gado/pastoreio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Cães militares/polícia/aduaneiros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Competências de Execução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79, 85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Conformações Extremas e Genótipos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41, 42, 77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Consanguinidade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Contentores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47, 52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Formação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36, 37, 38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Híbridos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Lares de acolhimento temporário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29, 30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Lojas de Venda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24, 25, 26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Luz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Mutilações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Obrigação de informação sobre detenção responsável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28, 60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Países Terceiros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73, 74, 75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Práticas dolorosas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Princípios gerais de bem-estar animal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Proteção de Dados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67, 68, 69, 70, 71, 72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Publicidade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Rastreabilidade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8, 9, 10, 11, 12, 14, 15, 18, 61, 62, 65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Registo/Aprovação de Estabelecimentos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35, 59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Regras específicas de bem-estar animal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24, 25, 45, 46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Regras mais restritivas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80, 81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Relatórios Anuais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32, 66, 82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Reprodução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49, 50, 53, 54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Sanções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83, 6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Saúde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33, 40, 73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Sociabilização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55, 76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Treino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4608"/>
          </w:tcPr>
          <w:p>
            <w:r>
              <w:t>Visitas Médico-Veterinárias de aconselhamento de bem-estar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33, 39, 78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