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color w:val="000000"/>
          <w:sz w:val="22"/>
        </w:rPr>
        <w:t>DIREÇÃO-GERAL DE ALIMENTAÇÃO E VETERINÁRIA</w:t>
      </w:r>
    </w:p>
    <w:p>
      <w:pPr>
        <w:spacing w:before="0" w:after="40" w:line="276" w:lineRule="auto"/>
        <w:jc w:val="left"/>
      </w:pPr>
      <w:r>
        <w:rPr>
          <w:color w:val="000000"/>
          <w:sz w:val="22"/>
        </w:rPr>
        <w:t>Bem-estar dos animais de companhia</w:t>
      </w:r>
    </w:p>
    <w:p>
      <w:pPr>
        <w:spacing w:before="0" w:after="280" w:line="276" w:lineRule="auto"/>
        <w:jc w:val="left"/>
      </w:pPr>
      <w:r>
        <w:rPr>
          <w:color w:val="000000"/>
          <w:sz w:val="22"/>
        </w:rPr>
        <w:t>Processo n.º ______   Data ______</w:t>
      </w:r>
    </w:p>
    <w:p>
      <w:pPr>
        <w:spacing w:before="0" w:after="240" w:line="276" w:lineRule="auto"/>
        <w:jc w:val="left"/>
      </w:pPr>
      <w:r>
        <w:rPr>
          <w:color w:val="000000"/>
          <w:sz w:val="24"/>
        </w:rPr>
        <w:t>Parecer sobre o Projeto de Lei n.º 780/XVII/2.ª (PAN), que criminaliza a prática da zoofilia reforçando a proteção animal e a tutela penal e contraordenacional</w:t>
      </w:r>
    </w:p>
    <w:p>
      <w:pPr>
        <w:spacing w:before="0" w:after="160" w:line="276" w:lineRule="auto"/>
        <w:jc w:val="both"/>
      </w:pPr>
      <w:r>
        <w:rPr>
          <w:color w:val="000000"/>
          <w:sz w:val="22"/>
        </w:rPr>
        <w:t>O projeto altera o artigo 387.º do Código Penal e adita a alínea h) ao n.º 3 do artigo 1.º da Lei n.º 92/95, de 12 de setembro. Este parecer incide sobre o bem-estar dos animais de companhia. As observações sobre as restantes matérias são sinalizações, sem prejuízo da pronúncia das unidades competentes.</w:t>
      </w:r>
    </w:p>
    <w:p>
      <w:pPr>
        <w:spacing w:before="0" w:after="160" w:line="276" w:lineRule="auto"/>
        <w:jc w:val="both"/>
      </w:pPr>
      <w:r>
        <w:rPr>
          <w:color w:val="000000"/>
          <w:sz w:val="22"/>
        </w:rPr>
        <w:t>Sentido: favorável, condicionado à correção referida no ponto 3.</w:t>
      </w:r>
    </w:p>
    <w:p>
      <w:pPr>
        <w:spacing w:before="320" w:after="120" w:line="276" w:lineRule="auto"/>
        <w:jc w:val="left"/>
      </w:pPr>
      <w:r>
        <w:rPr>
          <w:color w:val="000000"/>
          <w:sz w:val="24"/>
        </w:rPr>
        <w:t>1. O que a iniciativa acrescenta</w:t>
      </w:r>
    </w:p>
    <w:p>
      <w:pPr>
        <w:spacing w:before="0" w:after="160" w:line="276" w:lineRule="auto"/>
        <w:jc w:val="both"/>
      </w:pPr>
      <w:r>
        <w:rPr>
          <w:color w:val="000000"/>
          <w:sz w:val="22"/>
        </w:rPr>
        <w:t>O n.º 3 do artigo 387.º passa a ter duas alíneas, ambas sob o elemento «sem motivo legítimo». A alínea a) reproduz o crime de maus tratos vigente. A alínea b) acrescenta «Ofender sexualmente um animal de companhia através de cópula, coito anal, coito oral ou a introdução vaginal, anal ou oral de partes do corpo ou de objetos». A moldura penal mantém-se.</w:t>
      </w:r>
    </w:p>
    <w:p>
      <w:pPr>
        <w:spacing w:before="0" w:after="160" w:line="276" w:lineRule="auto"/>
        <w:jc w:val="both"/>
      </w:pPr>
      <w:r>
        <w:rPr>
          <w:color w:val="000000"/>
          <w:sz w:val="22"/>
        </w:rPr>
        <w:t>Na Lei n.º 92/95 adita-se a alínea h), com fórmula equivalente mas referida a «animais», sem qualificação de espécie.</w:t>
      </w:r>
    </w:p>
    <w:p>
      <w:pPr>
        <w:spacing w:before="0" w:after="160" w:line="276" w:lineRule="auto"/>
        <w:jc w:val="both"/>
      </w:pPr>
      <w:r>
        <w:rPr>
          <w:color w:val="000000"/>
          <w:sz w:val="22"/>
        </w:rPr>
        <w:t>O efeito útil é um só. A conduta passa a ser punível sem prova de dor, sofrimento ou lesão. É o que a legislação vigente não permite.</w:t>
      </w:r>
    </w:p>
    <w:p>
      <w:pPr>
        <w:spacing w:before="320" w:after="120" w:line="276" w:lineRule="auto"/>
        <w:jc w:val="left"/>
      </w:pPr>
      <w:r>
        <w:rPr>
          <w:color w:val="000000"/>
          <w:sz w:val="24"/>
        </w:rPr>
        <w:t>2. A insuficiência que a iniciativa supre</w:t>
      </w:r>
    </w:p>
    <w:p>
      <w:pPr>
        <w:spacing w:before="0" w:after="160" w:line="276" w:lineRule="auto"/>
        <w:jc w:val="both"/>
      </w:pPr>
      <w:r>
        <w:rPr>
          <w:color w:val="000000"/>
          <w:sz w:val="22"/>
        </w:rPr>
        <w:t>Toda a tutela hoje disponível é de resultado. O n.º 3 do artigo 387.º exige dor, sofrimento ou maus tratos físicos provados. O n.º 1 do artigo 1.º da Lei n.º 92/95 exige a morte, o sofrimento cruel e prolongado ou graves lesões.</w:t>
      </w:r>
    </w:p>
    <w:p>
      <w:pPr>
        <w:spacing w:before="0" w:after="160" w:line="276" w:lineRule="auto"/>
        <w:jc w:val="both"/>
      </w:pPr>
      <w:r>
        <w:rPr>
          <w:color w:val="000000"/>
          <w:sz w:val="22"/>
        </w:rPr>
        <w:t>Há um ponto que releva diretamente para esta divisão. O artigo 6.º do Decreto-Lei n.º 276/2001, de 17 de outubro, impõe ao detentor o dever de cuidar do animal «de forma a não pôr em causa os parâmetros de bem-estar». Mas as contraordenações que sancionam esse dever são apenas duas. A alínea j) do n.º 1 do artigo 68.º pune a violação que crie perigo para outro animal. A alínea b) do n.º 2 pune a que crie perigo para outrem. Violar o dever de cuidado pondo em perigo o próprio animal não é contraordenação. A ofensa sexual situa-se nesse espaço.</w:t>
      </w:r>
    </w:p>
    <w:p>
      <w:pPr>
        <w:spacing w:before="0" w:after="160" w:line="276" w:lineRule="auto"/>
        <w:jc w:val="both"/>
      </w:pPr>
      <w:r>
        <w:rPr>
          <w:color w:val="000000"/>
          <w:sz w:val="22"/>
        </w:rPr>
        <w:t>Acresce que a alínea c) do n.º 5 do artigo 387.º já qualifica como especialmente censurável o crime determinado «para excitação». A agravante existe. Falta o tipo que ela pressupõe.</w:t>
      </w:r>
    </w:p>
    <w:p>
      <w:pPr>
        <w:spacing w:before="0" w:after="160" w:line="276" w:lineRule="auto"/>
        <w:jc w:val="both"/>
      </w:pPr>
      <w:r>
        <w:rPr>
          <w:color w:val="000000"/>
          <w:sz w:val="22"/>
        </w:rPr>
        <w:t>Sinalização fora da competência desta divisão. A conduta envolve contacto direto de mucosas entre espécies e tem relevância higiossanitária e zoonótica documentada. Um estudo caso-controlo multicêntrico apurou associação epidemiológica (Zequi SC, et al., J Sex Med. 2012;9(7):1860-67). Está descrita transmissão sexual de brucelose (Li N, et al., IDCases. 2020;21:e00871). É matéria de saúde pública veterinária. Sugere-se que seja levada à fundamentação da iniciativa.</w:t>
      </w:r>
    </w:p>
    <w:p>
      <w:pPr>
        <w:spacing w:before="320" w:after="120" w:line="276" w:lineRule="auto"/>
        <w:jc w:val="left"/>
      </w:pPr>
      <w:r>
        <w:rPr>
          <w:color w:val="000000"/>
          <w:sz w:val="24"/>
        </w:rPr>
        <w:t>3. Correção premente: sobreinclusão sobre atos médico-veterinários</w:t>
      </w:r>
    </w:p>
    <w:p>
      <w:pPr>
        <w:spacing w:before="0" w:after="160" w:line="276" w:lineRule="auto"/>
        <w:jc w:val="both"/>
      </w:pPr>
      <w:r>
        <w:rPr>
          <w:color w:val="000000"/>
          <w:sz w:val="22"/>
        </w:rPr>
        <w:t>A alínea h) proposta abrange «a introdução vaginal, anal ou oral de partes do corpo ou de objetos». A norma penal subordina ambas as alíneas ao elemento «sem motivo legítimo». A norma contraordenacional não tem elemento limitador nenhum.</w:t>
      </w:r>
    </w:p>
    <w:p>
      <w:pPr>
        <w:spacing w:before="0" w:after="160" w:line="276" w:lineRule="auto"/>
        <w:jc w:val="both"/>
      </w:pPr>
      <w:r>
        <w:rPr>
          <w:color w:val="000000"/>
          <w:sz w:val="22"/>
        </w:rPr>
        <w:t>O n.º 1 do mesmo artigo não resolve a falta. É autodefinido e o n.º 3 abre com «São também proibidos», acrescentando e não especificando. A demonstração está no próprio artigo: as alíneas a), b), c), e) e f) do n.º 3 têm limitadores próprios, que seriam redundantes se o n.º 1 se transmitisse.</w:t>
      </w:r>
    </w:p>
    <w:p>
      <w:pPr>
        <w:spacing w:before="0" w:after="160" w:line="276" w:lineRule="auto"/>
        <w:jc w:val="both"/>
      </w:pPr>
      <w:r>
        <w:rPr>
          <w:color w:val="000000"/>
          <w:sz w:val="22"/>
        </w:rPr>
        <w:t>Ficam abrangidos, na letra, atos correntes da prática clínica e zootécnica: termometria retal, palpação e ecografia transretais, inseminação artificial, sondagem, enemas, exploração obstétrica.</w:t>
      </w:r>
    </w:p>
    <w:p>
      <w:pPr>
        <w:spacing w:before="0" w:after="160" w:line="276" w:lineRule="auto"/>
        <w:jc w:val="both"/>
      </w:pPr>
      <w:r>
        <w:rPr>
          <w:color w:val="000000"/>
          <w:sz w:val="22"/>
        </w:rPr>
        <w:t>Convém delimitar o alcance da objeção. O artigo 32.º do Regime Geral das Contra-Ordenações manda aplicar as normas do Código Penal, incluindo as causas de exclusão da ilicitude do artigo 31.º. O ato praticado no exercício da atividade médico-veterinária estaria justificado. Não se sustenta que um médico veterinário viesse a ser sancionado.</w:t>
      </w:r>
    </w:p>
    <w:p>
      <w:pPr>
        <w:spacing w:before="0" w:after="160" w:line="276" w:lineRule="auto"/>
        <w:jc w:val="both"/>
      </w:pPr>
      <w:r>
        <w:rPr>
          <w:color w:val="000000"/>
          <w:sz w:val="22"/>
        </w:rPr>
        <w:t>A objeção é de estrutura. A norma fica sobreinclusiva na sua face e a licitude passa a discutir-se por causa de justificação não escrita. O artigo 11.º da Lei n.º 92/95 atribui a fiscalização a nove entidades, incluindo autoridades policiais.</w:t>
      </w:r>
    </w:p>
    <w:p>
      <w:pPr>
        <w:spacing w:before="0" w:after="160" w:line="276" w:lineRule="auto"/>
        <w:jc w:val="both"/>
      </w:pPr>
      <w:r>
        <w:rPr>
          <w:color w:val="000000"/>
          <w:sz w:val="22"/>
        </w:rPr>
        <w:t>Propõe-se introduzir na alínea h) um elemento que restrinja a conduta à finalidade sexual. Em alternativa, ressalva expressa dos atos médico-veterinários e zootécnicos legalmente praticados. A primeira solução é preferível. Com elemento finalístico o ato clínico não chega a preencher a norma, o que dispensa a ressalva e a sua atualização.</w:t>
      </w:r>
    </w:p>
    <w:p>
      <w:pPr>
        <w:spacing w:before="320" w:after="120" w:line="276" w:lineRule="auto"/>
        <w:jc w:val="left"/>
      </w:pPr>
      <w:r>
        <w:rPr>
          <w:color w:val="000000"/>
          <w:sz w:val="24"/>
        </w:rPr>
        <w:t>4. Observações de aperfeiçoamento</w:t>
      </w:r>
    </w:p>
    <w:p>
      <w:pPr>
        <w:spacing w:before="0" w:after="160" w:line="276" w:lineRule="auto"/>
        <w:jc w:val="both"/>
      </w:pPr>
      <w:r>
        <w:rPr>
          <w:color w:val="000000"/>
          <w:sz w:val="22"/>
        </w:rPr>
        <w:t>Taxatividade. A lista é fechada. Ficam fora a masturbação do animal, o contacto oral-genital sem coito e a imposição de monta, incluindo quando a desproporção de porte possa causar lesões. A exposição de motivos refere condutas que o articulado não abrange.</w:t>
      </w:r>
    </w:p>
    <w:p>
      <w:pPr>
        <w:spacing w:before="0" w:after="160" w:line="276" w:lineRule="auto"/>
        <w:jc w:val="both"/>
      </w:pPr>
      <w:r>
        <w:rPr>
          <w:color w:val="000000"/>
          <w:sz w:val="22"/>
        </w:rPr>
        <w:t>Conteúdos audiovisuais. A exposição de motivos anuncia a criminalização da produção e difusão de conteúdos. O articulado nada dispõe. A alínea e) do n.º 3 do artigo 1.º já cobre parte da produção. Nada cobre a difusão.</w:t>
      </w:r>
    </w:p>
    <w:p>
      <w:pPr>
        <w:spacing w:before="0" w:after="160" w:line="276" w:lineRule="auto"/>
        <w:jc w:val="both"/>
      </w:pPr>
      <w:r>
        <w:rPr>
          <w:color w:val="000000"/>
          <w:sz w:val="22"/>
        </w:rPr>
        <w:t>Dever de comunicação. Deverá prever-se dever de comunicação a cargo do médico veterinário que detete indícios compatíveis com ofensa sexual? E como se articula esse dever com o sigilo do Código Deontológico Médico-Veterinário? Sugere-se a audição da Ordem dos Médicos Veterinários.</w:t>
      </w:r>
    </w:p>
    <w:p>
      <w:pPr>
        <w:spacing w:before="320" w:after="120" w:line="276" w:lineRule="auto"/>
        <w:jc w:val="left"/>
      </w:pPr>
      <w:r>
        <w:rPr>
          <w:color w:val="000000"/>
          <w:sz w:val="24"/>
        </w:rPr>
        <w:t>5. Conclusão</w:t>
      </w:r>
    </w:p>
    <w:p>
      <w:pPr>
        <w:spacing w:before="0" w:after="160" w:line="276" w:lineRule="auto"/>
        <w:jc w:val="both"/>
      </w:pPr>
      <w:r>
        <w:rPr>
          <w:color w:val="000000"/>
          <w:sz w:val="22"/>
        </w:rPr>
        <w:t>A insuficiência invocada verifica-se. A tutela vigente é toda de resultado e a violação do dever de cuidado que ponha em perigo o próprio animal não é contraordenável. A iniciativa tem utilidade própria por deslocar a tutela do resultado para o ato.</w:t>
      </w:r>
    </w:p>
    <w:p>
      <w:pPr>
        <w:spacing w:before="0" w:after="160" w:line="276" w:lineRule="auto"/>
        <w:jc w:val="both"/>
      </w:pPr>
      <w:r>
        <w:rPr>
          <w:color w:val="000000"/>
          <w:sz w:val="22"/>
        </w:rPr>
        <w:t>A redação proposta para a Lei n.º 92/95 é sobreinclusiva quanto a atos médico-veterinários e zootécnicos. A correção do ponto 3 é premente. Nada mais se opõe, em termos técnicos, à aprovação da iniciativa.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