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C9D2DA"/>
              <w:bottom w:val="nil"/>
              <w:right w:val="nil"/>
            </w:tcBorders>
            <w:shd w:val="clear" w:color="auto" w:fill="F6F7F8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8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18"/>
              </w:rPr>
              <w:t>DIREÇÃO-GERAL DE ALIMENTAÇÃO E VETERINÁRIA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8"/>
              </w:rPr>
              <w:t xml:space="preserve"> · Bem-estar dos animais de companhia · Processo n.º ____ · Data ____</w:t>
            </w:r>
          </w:p>
          <w:p>
            <w:pPr>
              <w:spacing w:before="0" w:after="8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18"/>
              </w:rPr>
              <w:t>Projeto de Lei n.º 780/XVII/2.ª (PAN)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8"/>
              </w:rPr>
              <w:t xml:space="preserve"> — «Criminaliza a prática da zoofilia reforçando a proteção animal e a tutela penal e contraordenacional». Altera o artigo 387.º do Código Penal e adita a alínea h) ao n.º 3 do artigo 1.º da Lei n.º 92/95, de 12 de setembro.</w:t>
            </w:r>
          </w:p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8"/>
              </w:rPr>
              <w:t xml:space="preserve">O presente parecer incide sobre o bem-estar dos animais de companhia, matéria da competência desta divisão, formulando-se as observações sobre as demais matérias a título de sinalização, sem prejuízo da pronúncia das unidades competentes. </w:t>
            </w:r>
            <w:r>
              <w:rPr>
                <w:rFonts w:ascii="Aptos" w:hAnsi="Aptos" w:cs="Aptos" w:eastAsia="Aptos"/>
                <w:b/>
                <w:i w:val="0"/>
                <w:color w:val="2B2B2B"/>
                <w:sz w:val="18"/>
              </w:rPr>
              <w:t>Sentido: favorável, condicionado à correção referida no ponto 3.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1.  </w:t>
      </w:r>
      <w:r>
        <w:rPr>
          <w:rFonts w:ascii="Aptos" w:hAnsi="Aptos" w:cs="Aptos" w:eastAsia="Aptos"/>
          <w:b/>
          <w:i w:val="0"/>
          <w:color w:val="35506B"/>
          <w:sz w:val="27"/>
        </w:rPr>
        <w:t>O que a iniciativa acrescenta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n.º 3 do artigo 387.º passa a comportar duas alíneas, sob o elemento comum «sem motivo legítimo»: a alínea a) reproduz o crime de maus tratos vigente e a alínea b) acrescenta «Ofender sexualmente um animal de companhia através de cópula, coito anal, coito oral ou a introdução vaginal, anal ou oral de partes do corpo ou de objetos», mantendo-se a moldura vigente. Na Lei n.º 92/95 adita-se a alínea h) com fórmula equivalente, referida a «animais» sem qualificação de espécie.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D8C9AE"/>
              <w:bottom w:val="nil"/>
              <w:right w:val="nil"/>
            </w:tcBorders>
            <w:shd w:val="clear" w:color="auto" w:fill="F7F4ED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O efeito útil é um só, e importa fixá-lo: </w:t>
            </w:r>
            <w:r>
              <w:rPr>
                <w:rFonts w:ascii="Aptos" w:hAnsi="Aptos" w:cs="Aptos" w:eastAsia="Aptos"/>
                <w:b/>
                <w:i w:val="0"/>
                <w:color w:val="2B2B2B"/>
                <w:sz w:val="20"/>
              </w:rPr>
              <w:t>a conduta passa a ser punível sem dependência da prova de dor, sofrimento ou lesão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>. É o que a legislação vigente não assegura.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2.  </w:t>
      </w:r>
      <w:r>
        <w:rPr>
          <w:rFonts w:ascii="Aptos" w:hAnsi="Aptos" w:cs="Aptos" w:eastAsia="Aptos"/>
          <w:b/>
          <w:i w:val="0"/>
          <w:color w:val="35506B"/>
          <w:sz w:val="27"/>
        </w:rPr>
        <w:t>A insuficiência que a iniciativa supre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Toda a tutela hoje disponível é de resultado: o n.º 3 do artigo 387.º do Código Penal exige dor, sofrimento ou maus tratos físicos provados, e o n.º 1 do artigo 1.º da Lei n.º 92/95 exige a morte, ou o sofrimento cruel e prolongado, ou graves lesões.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Acresce — e é este o ponto de maior relevo para a competência desta divisão — que o dever especial de cuidado consagrado no artigo 6.º do Decreto-Lei n.º 276/2001, de 17 de outubro, que impõe ao detentor cuidar do animal «de forma a não pôr em causa os parâmetros de bem-estar», não se encontra sancionado quando o perigo recaia sobre o próprio animal. As contraordenações que o sancionam são apenas duas: a alínea j) do n.º 1 do artigo 68.º, quando a violação «crie perigo para a vida ou integridade física de outro animal», e a alínea b) do n.º 2, quando crie perigo «de outrem». </w:t>
      </w:r>
      <w:r>
        <w:rPr>
          <w:rFonts w:ascii="Aptos" w:hAnsi="Aptos" w:cs="Aptos" w:eastAsia="Aptos"/>
          <w:b/>
          <w:i w:val="0"/>
          <w:color w:val="2B2B2B"/>
          <w:sz w:val="20"/>
        </w:rPr>
        <w:t>A ofensa sexual não põe em perigo terceiro nem outro animal: situa-se precisamente no espaço não sancionado.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Assinala-se ainda que o ordenamento já qualificou o motivo sexual como especialmente censurável, na alínea c) do n.º 5 do artigo 387.º — «para excitação» —, sem que exista o tipo que essa agravante pressupõe.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E0BEBA"/>
              <w:bottom w:val="nil"/>
              <w:right w:val="nil"/>
            </w:tcBorders>
            <w:shd w:val="clear" w:color="auto" w:fill="FAF2F1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19"/>
              </w:rPr>
              <w:t>Sinalização, fora da competência desta divisão.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9"/>
              </w:rPr>
              <w:t xml:space="preserve"> A conduta envolve contacto directo de mucosas entre espécies, com relevância higiossanitária e zoonótica documentada — associação epidemiológica apurada em estudo caso-controlo multicêntrico (Zequi SC, et al., J Sex Med. 2012;9(7):1860-67) e transmissão sexual de brucelose descrita (Li N, et al., IDCases. 2020;21:e00871). Matéria de saúde pública veterinária, que se sinaliza para pronúncia da unidade competente e cuja inclusão na fundamentação da iniciativa se sugere.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3.  </w:t>
      </w:r>
      <w:r>
        <w:rPr>
          <w:rFonts w:ascii="Aptos" w:hAnsi="Aptos" w:cs="Aptos" w:eastAsia="Aptos"/>
          <w:b/>
          <w:i w:val="0"/>
          <w:color w:val="35506B"/>
          <w:sz w:val="27"/>
        </w:rPr>
        <w:t>Correção premente: sobreinclusão sobre actos médico-veterinários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alínea h) proposta para a Lei n.º 92/95 abrange «a introdução vaginal, anal ou oral de partes do corpo ou de objetos». Diferentemente da norma penal, que subordina ambas as alíneas ao elemento «sem motivo legítimo», a norma contraordenacional não comporta qualquer elemento limitador. O n.º 1 do mesmo artigo não supre a falta: é autodefinido e o n.º 3 abre com «São também proibidos», acrescentando e não especificando — sendo a demonstração interna ao artigo, porquanto as alíneas a), b), c), e) e f) carregam limitadores próprios, que seriam redundantes se o n.º 1 se transmitisse. Ficam assim abrangidos, na letra, actos correntes da prática clínica e zootécnica: termometria rectal, palpação e ecografia transrectais, inseminação artificial, sondagem, enemas e exploração obstétrica.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Cumpre delimitar o alcance da objeção: por força do artigo 32.º do Regime Geral das Contra-Ordenações operam as causas de exclusão da ilicitude do artigo 31.º do Código Penal, pelo que o acto praticado no exercício da atividade médico-veterinária estaria justificado. </w:t>
      </w:r>
      <w:r>
        <w:rPr>
          <w:rFonts w:ascii="Aptos" w:hAnsi="Aptos" w:cs="Aptos" w:eastAsia="Aptos"/>
          <w:b/>
          <w:i w:val="0"/>
          <w:color w:val="2B2B2B"/>
          <w:sz w:val="20"/>
        </w:rPr>
        <w:t>Não se sustenta que um médico veterinário viesse a ser sancionado.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A objeção é de estrutura: a norma fica sobreinclusiva na sua face e a licitude passa a discutir-se por causa de justificação não escrita, quando o artigo 11.º da Lei n.º 92/95 atribui a fiscalização a nove entidades, incluindo autoridades policiais.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D8C9AE"/>
              <w:bottom w:val="nil"/>
              <w:right w:val="nil"/>
            </w:tcBorders>
            <w:shd w:val="clear" w:color="auto" w:fill="F7F4ED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20"/>
              </w:rPr>
              <w:t>Correção que se propõe.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 Introdução, na alínea h), de elemento que restrinja a conduta à finalidade sexual — ou, em alternativa, ressalva expressa dos actos médico-veterinários e zootécnicos legalmente praticados. Prefere-se a primeira: com elemento finalístico, o acto clínico não chega a preencher a norma, dispensando ressalva e a sua actualização.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4.  </w:t>
      </w:r>
      <w:r>
        <w:rPr>
          <w:rFonts w:ascii="Aptos" w:hAnsi="Aptos" w:cs="Aptos" w:eastAsia="Aptos"/>
          <w:b/>
          <w:i w:val="0"/>
          <w:color w:val="35506B"/>
          <w:sz w:val="27"/>
        </w:rPr>
        <w:t>Observações de aperfeiçoamento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1.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Taxatividade.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Sendo a lista fechada, ficam fora a masturbação do animal, o contacto oral-genital sem coito e a imposição de monta, incluindo quando a desproporção de porte seja susceptível de causar lesões — condutas que a exposição de motivos refere e o articulado não abrange.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2.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Conteúdos audiovisuais.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A exposição de motivos anuncia a criminalização da produção e difusão de conteúdos, que o articulado não dispõe. A alínea e) do n.º 3 do artigo 1.º já cobre parte da produção; nada da difusão.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3.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Dever de comunicação.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Deverá prever-se dever de comunicação a cargo do médico veterinário que detete indícios compatíveis com ofensa sexual, e como se articula com o sigilo do Código Deontológico Médico-Veterinário? Questão que se suscita, sem juízo prévio, sugerindo-se a audição da Ordem dos Médicos Veterinários.</w:t>
      </w: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5.  </w:t>
      </w:r>
      <w:r>
        <w:rPr>
          <w:rFonts w:ascii="Aptos" w:hAnsi="Aptos" w:cs="Aptos" w:eastAsia="Aptos"/>
          <w:b/>
          <w:i w:val="0"/>
          <w:color w:val="35506B"/>
          <w:sz w:val="27"/>
        </w:rPr>
        <w:t>Conclusão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D8C9AE"/>
              <w:bottom w:val="nil"/>
              <w:right w:val="nil"/>
            </w:tcBorders>
            <w:shd w:val="clear" w:color="auto" w:fill="F7F4ED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A insuficiência invocada verifica-se — a tutela vigente é toda de resultado e a violação do dever de cuidado que ponha em perigo o próprio animal não é contraordenável —, tendo a iniciativa utilidade normativa autónoma por deslocar a tutela do resultado para o acto. Sendo, porém, a redação proposta para a Lei n.º 92/95 sobreinclusiva quanto a actos médico-veterinários e zootécnicos, é premente a correção do ponto 3. </w:t>
            </w:r>
            <w:r>
              <w:rPr>
                <w:rFonts w:ascii="Aptos" w:hAnsi="Aptos" w:cs="Aptos" w:eastAsia="Aptos"/>
                <w:b/>
                <w:i w:val="0"/>
                <w:color w:val="2B2B2B"/>
                <w:sz w:val="20"/>
              </w:rPr>
              <w:t>Nada mais se opõe, em termos técnicos, à aprovação da iniciativa.</w:t>
            </w:r>
          </w:p>
        </w:tc>
      </w:tr>
    </w:tbl>
    <w:p>
      <w:pPr>
        <w:spacing w:before="0" w:after="180" w:line="293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247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93" w:lineRule="auto"/>
      <w:jc w:val="right"/>
    </w:pPr>
    <w:r>
      <w:rPr>
        <w:rFonts w:ascii="Aptos" w:hAnsi="Aptos" w:cs="Aptos" w:eastAsia="Aptos"/>
        <w:b w:val="0"/>
        <w:i w:val="0"/>
        <w:color w:val="7C8894"/>
        <w:sz w:val="16"/>
      </w:rPr>
    </w:r>
    <w:fldSimple w:instr="PAGE">
      <w:r>
        <w:rPr>
          <w:sz w:val="16"/>
          <w:color w:val="7C8894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93" w:lineRule="auto"/>
      <w:jc w:val="right"/>
    </w:pPr>
    <w:r>
      <w:rPr>
        <w:rFonts w:ascii="Aptos" w:hAnsi="Aptos" w:cs="Aptos" w:eastAsia="Aptos"/>
        <w:b w:val="0"/>
        <w:i w:val="0"/>
        <w:color w:val="7C8894"/>
        <w:sz w:val="15"/>
      </w:rPr>
      <w:t>Parecer sumário · PL n.º 780/XVII/2.ª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ptos" w:hAnsi="Aptos" w:cs="Aptos" w:eastAsia="Aptos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