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Desde 1 de outubro de 2020, o artigo 1.º-A da Lei n.º 92/95, aditado pela Lei n.º 39/2020, impõe aos municípios o </w:t>
      </w:r>
      <w:r>
        <w:rPr>
          <w:rFonts w:ascii="Aptos" w:hAnsi="Aptos" w:cs="Aptos" w:eastAsia="Aptos"/>
          <w:b/>
          <w:i w:val="0"/>
          <w:color w:val="2B2B2B"/>
          <w:sz w:val="20"/>
        </w:rPr>
        <w:t>dever</w:t>
      </w:r>
      <w:r>
        <w:rPr>
          <w:rFonts w:ascii="Aptos" w:hAnsi="Aptos" w:cs="Aptos" w:eastAsia="Aptos"/>
          <w:b w:val="0"/>
          <w:i w:val="0"/>
          <w:color w:val="2B2B2B"/>
          <w:sz w:val="20"/>
        </w:rPr>
        <w:t xml:space="preserve"> de desencadear a recolha ou captura de animais havendo evidência de sinais de crimes de maus-tratos — poder autónomo, que não depende de fogo, de habitação nem de registo do alojamento.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p>
      <w:pPr>
        <w:spacing w:before="0" w:after="100" w:line="293" w:lineRule="auto"/>
        <w:ind w:left="408" w:hanging="408"/>
        <w:jc w:val="both"/>
      </w:pPr>
      <w:r>
        <w:rPr>
          <w:rFonts w:ascii="Aptos" w:hAnsi="Aptos" w:cs="Aptos" w:eastAsia="Aptos"/>
          <w:b/>
          <w:i w:val="0"/>
          <w:color w:val="5C7891"/>
          <w:sz w:val="20"/>
        </w:rPr>
        <w:t>13.</w:t>
        <w:tab/>
      </w:r>
      <w:r>
        <w:rPr>
          <w:rFonts w:ascii="Aptos" w:hAnsi="Aptos" w:cs="Aptos" w:eastAsia="Aptos"/>
          <w:b w:val="0"/>
          <w:i w:val="0"/>
          <w:color w:val="2B2B2B"/>
          <w:sz w:val="20"/>
        </w:rPr>
        <w:t xml:space="preserve">A </w:t>
      </w:r>
      <w:r>
        <w:rPr>
          <w:rFonts w:ascii="Aptos" w:hAnsi="Aptos" w:cs="Aptos" w:eastAsia="Aptos"/>
          <w:b/>
          <w:i w:val="0"/>
          <w:color w:val="2B2B2B"/>
          <w:sz w:val="20"/>
        </w:rPr>
        <w:t>única doutrina</w:t>
      </w:r>
      <w:r>
        <w:rPr>
          <w:rFonts w:ascii="Aptos" w:hAnsi="Aptos" w:cs="Aptos" w:eastAsia="Aptos"/>
          <w:b w:val="0"/>
          <w:i w:val="0"/>
          <w:color w:val="2B2B2B"/>
          <w:sz w:val="20"/>
        </w:rPr>
        <w:t xml:space="preserve"> que trata o artigo 3.º na perspetiva de quem o fiscaliza arruma-o sob a epígrafe «Limite de cães e gatos por habitação», descreve a contraordenação da al. c) do n.º 3 do artigo 14.º como «exceder o n.º de animais por fogo urbano», e no seu levantamento das contraordenações do Decreto-Lei n.º 276/2001 não inclui uma única entrada sobre excesso de animais em alojamento. Categorias construídas sem este problema em vista, e organizadas segundo a separação aqui defendida. Capítulo 11.4.</w:t>
      </w:r>
    </w:p>
    <w:p>
      <w:pPr>
        <w:spacing w:before="0" w:after="100" w:line="293" w:lineRule="auto"/>
        <w:ind w:left="408" w:hanging="408"/>
        <w:jc w:val="both"/>
      </w:pPr>
      <w:r>
        <w:rPr>
          <w:rFonts w:ascii="Aptos" w:hAnsi="Aptos" w:cs="Aptos" w:eastAsia="Aptos"/>
          <w:b/>
          <w:i w:val="0"/>
          <w:color w:val="5C7891"/>
          <w:sz w:val="20"/>
        </w:rPr>
        <w:t>14.</w:t>
        <w:tab/>
      </w:r>
      <w:r>
        <w:rPr>
          <w:rFonts w:ascii="Aptos" w:hAnsi="Aptos" w:cs="Aptos" w:eastAsia="Aptos"/>
          <w:b w:val="0"/>
          <w:i w:val="0"/>
          <w:color w:val="2B2B2B"/>
          <w:sz w:val="20"/>
        </w:rPr>
        <w:t xml:space="preserve">A remoção dos animais pela autoridade municipal tem </w:t>
      </w:r>
      <w:r>
        <w:rPr>
          <w:rFonts w:ascii="Aptos" w:hAnsi="Aptos" w:cs="Aptos" w:eastAsia="Aptos"/>
          <w:b/>
          <w:i w:val="0"/>
          <w:color w:val="2B2B2B"/>
          <w:sz w:val="20"/>
        </w:rPr>
        <w:t>duas bases legais expressas e independentes</w:t>
      </w:r>
      <w:r>
        <w:rPr>
          <w:rFonts w:ascii="Aptos" w:hAnsi="Aptos" w:cs="Aptos" w:eastAsia="Aptos"/>
          <w:b w:val="0"/>
          <w:i w:val="0"/>
          <w:color w:val="2B2B2B"/>
          <w:sz w:val="20"/>
        </w:rPr>
        <w:t xml:space="preserve">, em dois diplomas: o n.º 5 do artigo 3.º do Decreto-Lei n.º 314/2003, em que é a própria câmara que notifica após vistoria conjunta; e o n.º 6 do artigo 3.º-G do Decreto-Lei n.º 276/2001 — «Compete às câmaras municipais executar as medidas necessárias ao cumprimento da decisão […], nomeadamente proceder, quando necessário, à recolha dos animais» —, em que a câmara executa decisão do diretor-geral. A primeira é autónoma, a segunda não. Determinar o </w:t>
      </w:r>
      <w:r>
        <w:rPr>
          <w:rFonts w:ascii="Aptos" w:hAnsi="Aptos" w:cs="Aptos" w:eastAsia="Aptos"/>
          <w:b/>
          <w:i w:val="0"/>
          <w:color w:val="2B2B2B"/>
          <w:sz w:val="20"/>
        </w:rPr>
        <w:t>encerramento</w:t>
      </w:r>
      <w:r>
        <w:rPr>
          <w:rFonts w:ascii="Aptos" w:hAnsi="Aptos" w:cs="Aptos" w:eastAsia="Aptos"/>
          <w:b w:val="0"/>
          <w:i w:val="0"/>
          <w:color w:val="2B2B2B"/>
          <w:sz w:val="20"/>
        </w:rPr>
        <w:t xml:space="preserve"> do alojamento, isso, é do diretor-geral (n.º 1 do artigo 3.º-G), e nunca da câmara — salvo entre 30.1.2019 e 7.8.2019, por efeito do Decreto-Lei n.º 20/2019, cuja vigência cessou. Capítulo 9.5.</w:t>
      </w:r>
    </w:p>
    <w:p>
      <w:pPr>
        <w:spacing w:before="0" w:after="100" w:line="293" w:lineRule="auto"/>
        <w:ind w:left="408" w:hanging="408"/>
        <w:jc w:val="both"/>
      </w:pPr>
      <w:r>
        <w:rPr>
          <w:rFonts w:ascii="Aptos" w:hAnsi="Aptos" w:cs="Aptos" w:eastAsia="Aptos"/>
          <w:b/>
          <w:i w:val="0"/>
          <w:color w:val="5C7891"/>
          <w:sz w:val="20"/>
        </w:rPr>
        <w:t>15.</w:t>
        <w:tab/>
      </w:r>
      <w:r>
        <w:rPr>
          <w:rFonts w:ascii="Aptos" w:hAnsi="Aptos" w:cs="Aptos" w:eastAsia="Aptos"/>
          <w:b/>
          <w:i w:val="0"/>
          <w:color w:val="2B2B2B"/>
          <w:sz w:val="20"/>
        </w:rPr>
        <w:t>A execução é o ponto fraco do sistema, e a causa é institucional.</w:t>
      </w:r>
      <w:r>
        <w:rPr>
          <w:rFonts w:ascii="Aptos" w:hAnsi="Aptos" w:cs="Aptos" w:eastAsia="Aptos"/>
          <w:b w:val="0"/>
          <w:i w:val="0"/>
          <w:color w:val="2B2B2B"/>
          <w:sz w:val="20"/>
        </w:rPr>
        <w:t xml:space="preserve"> Quem propõe a medida — o médico veterinário municipal — é autoridade sanitária veterinária concelhia com poderes conferidos pela autoridade nacional «a título pessoal, não delegável», que exerce «sem dependência hierárquica», mas apenas quando estejam em causa «prejuízos graves à saúde pública»; em tudo o mais «depende, hierárquica e disciplinarmente, do presidente da câmara» (n.ºs 2, 3 e 4 do artigo 2.º e n.º 1 do artigo 4.º do Decreto-Lei n.º 116/98). Nos abrigos sem registo, onde o fundamento próprio é o bem-estar animal, a blindagem não cobre o ato. Capítulo 9.5.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Confirmação doutrinal, e de fonte operacional.</w:t>
            </w:r>
            <w:r>
              <w:rPr>
                <w:rFonts w:ascii="Aptos" w:hAnsi="Aptos" w:cs="Aptos" w:eastAsia="Aptos"/>
                <w:b w:val="0"/>
                <w:i w:val="0"/>
                <w:color w:val="2B2B2B"/>
                <w:sz w:val="20"/>
              </w:rPr>
              <w:t xml:space="preserve"> O único estudo que faz o levantamento das contraordenações desta matéria para uso da fiscalização descreve o tipo da al. c) do n.º 3 do artigo 14.º nestes termos: «Exceder o n.º de animais por </w:t>
            </w:r>
            <w:r>
              <w:rPr>
                <w:rFonts w:ascii="Aptos" w:hAnsi="Aptos" w:cs="Aptos" w:eastAsia="Aptos"/>
                <w:b/>
                <w:i w:val="0"/>
                <w:color w:val="2B2B2B"/>
                <w:sz w:val="20"/>
              </w:rPr>
              <w:t>fogo urbano</w:t>
            </w:r>
            <w:r>
              <w:rPr>
                <w:rFonts w:ascii="Aptos" w:hAnsi="Aptos" w:cs="Aptos" w:eastAsia="Aptos"/>
                <w:b w:val="0"/>
                <w:i w:val="0"/>
                <w:color w:val="2B2B2B"/>
                <w:sz w:val="20"/>
              </w:rPr>
              <w:t xml:space="preserve"> (3 cães ou quatro gatos, num máximo de 4 animais)», e indica como entidade instrutória a </w:t>
            </w:r>
            <w:r>
              <w:rPr>
                <w:rFonts w:ascii="Aptos" w:hAnsi="Aptos" w:cs="Aptos" w:eastAsia="Aptos"/>
                <w:b/>
                <w:i w:val="0"/>
                <w:color w:val="2B2B2B"/>
                <w:sz w:val="20"/>
              </w:rPr>
              <w:t>DGAV</w:t>
            </w:r>
            <w:r>
              <w:rPr>
                <w:rFonts w:ascii="Aptos" w:hAnsi="Aptos" w:cs="Aptos" w:eastAsia="Aptos"/>
                <w:b w:val="0"/>
                <w:i w:val="0"/>
                <w:color w:val="2B2B2B"/>
                <w:sz w:val="20"/>
              </w:rPr>
              <w:t xml:space="preserve"> — ao passo que a notificação para remoção do n.º 5, essa, atribui às câmaras municipais. É a mesma dissociação que aqui se descreve, feita por quem a tem de aplicar: </w:t>
            </w:r>
            <w:r>
              <w:rPr>
                <w:rFonts w:ascii="Aptos" w:hAnsi="Aptos" w:cs="Aptos" w:eastAsia="Aptos"/>
                <w:b/>
                <w:i w:val="0"/>
                <w:color w:val="2B2B2B"/>
                <w:sz w:val="20"/>
              </w:rPr>
              <w:t>pune a DGAV, remove o município</w:t>
            </w:r>
            <w:r>
              <w:rPr>
                <w:rFonts w:ascii="Aptos" w:hAnsi="Aptos" w:cs="Aptos" w:eastAsia="Aptos"/>
                <w:b w:val="0"/>
                <w:i w:val="0"/>
                <w:color w:val="2B2B2B"/>
                <w:sz w:val="20"/>
              </w:rPr>
              <w:t>. Ver 11.4.</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00" w:after="60" w:line="293" w:lineRule="auto"/>
      </w:pPr>
      <w:r>
        <w:rPr>
          <w:rFonts w:ascii="Aptos" w:hAnsi="Aptos" w:cs="Aptos" w:eastAsia="Aptos"/>
          <w:b/>
          <w:i w:val="0"/>
          <w:color w:val="5C7891"/>
          <w:sz w:val="19"/>
        </w:rPr>
        <w:t>O caso de Santo Tirso</w:t>
      </w:r>
    </w:p>
    <w:p>
      <w:pPr>
        <w:spacing w:before="0" w:after="140" w:line="293" w:lineRule="auto"/>
        <w:jc w:val="both"/>
      </w:pPr>
      <w:r>
        <w:rPr>
          <w:rFonts w:ascii="Aptos" w:hAnsi="Aptos" w:cs="Aptos" w:eastAsia="Aptos"/>
          <w:b w:val="0"/>
          <w:i w:val="0"/>
          <w:color w:val="2B2B2B"/>
          <w:sz w:val="20"/>
        </w:rPr>
        <w:t>O ponto tem um caso real recente, e é preciso confrontá-lo com a resposta dada, sob pena de esta valer apenas no papel.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93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Facto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2006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Há registo de </w:t>
            </w:r>
            <w:r>
              <w:rPr>
                <w:rFonts w:ascii="Aptos" w:hAnsi="Aptos" w:cs="Aptos" w:eastAsia="Aptos"/>
                <w:b/>
                <w:i w:val="0"/>
                <w:color w:val="2B2B2B"/>
                <w:sz w:val="17"/>
              </w:rPr>
              <w:t>vistorias</w:t>
            </w:r>
            <w:r>
              <w:rPr>
                <w:rFonts w:ascii="Aptos" w:hAnsi="Aptos" w:cs="Aptos" w:eastAsia="Aptos"/>
                <w:b w:val="0"/>
                <w:i w:val="0"/>
                <w:color w:val="2B2B2B"/>
                <w:sz w:val="17"/>
              </w:rPr>
              <w:t xml:space="preserve"> aos espaços, segundo o esclarecimento público do Governo de 21 de julho de 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2010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w:t>
            </w:r>
            <w:r>
              <w:rPr>
                <w:rFonts w:ascii="Aptos" w:hAnsi="Aptos" w:cs="Aptos" w:eastAsia="Aptos"/>
                <w:b/>
                <w:i w:val="0"/>
                <w:color w:val="2B2B2B"/>
                <w:sz w:val="17"/>
              </w:rPr>
              <w:t>DGAV</w:t>
            </w:r>
            <w:r>
              <w:rPr>
                <w:rFonts w:ascii="Aptos" w:hAnsi="Aptos" w:cs="Aptos" w:eastAsia="Aptos"/>
                <w:b w:val="0"/>
                <w:i w:val="0"/>
                <w:color w:val="2B2B2B"/>
                <w:sz w:val="17"/>
              </w:rPr>
              <w:t xml:space="preserve"> passa a intervir, em </w:t>
            </w:r>
            <w:r>
              <w:rPr>
                <w:rFonts w:ascii="Aptos" w:hAnsi="Aptos" w:cs="Aptos" w:eastAsia="Aptos"/>
                <w:b/>
                <w:i w:val="0"/>
                <w:color w:val="2B2B2B"/>
                <w:sz w:val="17"/>
              </w:rPr>
              <w:t>vistorias conjuntas</w:t>
            </w:r>
            <w:r>
              <w:rPr>
                <w:rFonts w:ascii="Aptos" w:hAnsi="Aptos" w:cs="Aptos" w:eastAsia="Aptos"/>
                <w:b w:val="0"/>
                <w:i w:val="0"/>
                <w:color w:val="2B2B2B"/>
                <w:sz w:val="17"/>
              </w:rPr>
              <w:t xml:space="preserve"> com o município e com a autoridade de saúde, e aplica as </w:t>
            </w:r>
            <w:r>
              <w:rPr>
                <w:rFonts w:ascii="Aptos" w:hAnsi="Aptos" w:cs="Aptos" w:eastAsia="Aptos"/>
                <w:b/>
                <w:i w:val="0"/>
                <w:color w:val="2B2B2B"/>
                <w:sz w:val="17"/>
              </w:rPr>
              <w:t>sanções contraordenacionais</w:t>
            </w:r>
            <w:r>
              <w:rPr>
                <w:rFonts w:ascii="Aptos" w:hAnsi="Aptos" w:cs="Aptos" w:eastAsia="Aptos"/>
                <w:b w:val="0"/>
                <w:i w:val="0"/>
                <w:color w:val="2B2B2B"/>
                <w:sz w:val="17"/>
              </w:rPr>
              <w:t xml:space="preserve"> correspondentes (mesmo esclarecimento)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2012</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DGAV emite despacho pedindo à câmara municipal de Santo Tirso diligências para </w:t>
            </w:r>
            <w:r>
              <w:rPr>
                <w:rFonts w:ascii="Aptos" w:hAnsi="Aptos" w:cs="Aptos" w:eastAsia="Aptos"/>
                <w:b/>
                <w:i w:val="0"/>
                <w:color w:val="2B2B2B"/>
                <w:sz w:val="17"/>
              </w:rPr>
              <w:t>retirar os animais</w:t>
            </w:r>
            <w:r>
              <w:rPr>
                <w:rFonts w:ascii="Aptos" w:hAnsi="Aptos" w:cs="Aptos" w:eastAsia="Aptos"/>
                <w:b w:val="0"/>
                <w:i w:val="0"/>
                <w:color w:val="2B2B2B"/>
                <w:sz w:val="17"/>
              </w:rPr>
              <w:t xml:space="preserve"> do abrigo «Cantinho das Quatro Patas»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2018</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Um processo-crime relativo ao abrigo corre no tribunal de Santo Tirso e é </w:t>
            </w:r>
            <w:r>
              <w:rPr>
                <w:rFonts w:ascii="Aptos" w:hAnsi="Aptos" w:cs="Aptos" w:eastAsia="Aptos"/>
                <w:b/>
                <w:i w:val="0"/>
                <w:color w:val="2B2B2B"/>
                <w:sz w:val="17"/>
              </w:rPr>
              <w:t>arquivado</w:t>
            </w:r>
            <w:r>
              <w:rPr>
                <w:rFonts w:ascii="Aptos" w:hAnsi="Aptos" w:cs="Aptos" w:eastAsia="Aptos"/>
                <w:b w:val="0"/>
                <w:i w:val="0"/>
                <w:color w:val="2B2B2B"/>
                <w:sz w:val="17"/>
              </w:rPr>
              <w:t xml:space="preserve"> — segundo o presidente da câmara, com os autos a consignarem que os animais não eram vítimas de maus-tratos. No mesmo ano a câmara obtém parecer jurídico externo que conclui que «as câmaras não têm competência para </w:t>
            </w:r>
            <w:r>
              <w:rPr>
                <w:rFonts w:ascii="Aptos" w:hAnsi="Aptos" w:cs="Aptos" w:eastAsia="Aptos"/>
                <w:b/>
                <w:i w:val="0"/>
                <w:color w:val="2B2B2B"/>
                <w:sz w:val="17"/>
              </w:rPr>
              <w:t>encerrar</w:t>
            </w:r>
            <w:r>
              <w:rPr>
                <w:rFonts w:ascii="Aptos" w:hAnsi="Aptos" w:cs="Aptos" w:eastAsia="Aptos"/>
                <w:b w:val="0"/>
                <w:i w:val="0"/>
                <w:color w:val="2B2B2B"/>
                <w:sz w:val="17"/>
              </w:rPr>
              <w:t xml:space="preserve"> abrigos de animais»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19.6.2020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Despacho n.º 6928/2020 — criação do </w:t>
            </w:r>
            <w:r>
              <w:rPr>
                <w:rFonts w:ascii="Aptos" w:hAnsi="Aptos" w:cs="Aptos" w:eastAsia="Aptos"/>
                <w:b/>
                <w:i w:val="0"/>
                <w:color w:val="2B2B2B"/>
                <w:sz w:val="17"/>
              </w:rPr>
              <w:t>Grupo de Trabalho para o Bem-Estar Animal</w:t>
            </w:r>
            <w:r>
              <w:rPr>
                <w:rFonts w:ascii="Aptos" w:hAnsi="Aptos" w:cs="Aptos" w:eastAsia="Aptos"/>
                <w:b w:val="0"/>
                <w:i w:val="0"/>
                <w:color w:val="2B2B2B"/>
                <w:sz w:val="17"/>
              </w:rPr>
              <w:t>, invocado no esclarecimento do Governo como a via aberta para rever o regime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18.7.2020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Incêndio na Serra da Agrela; morrem dezenas de animais em dois abrigos — «Cantinho das 4 Patas» e «Abrigo de Paredes» —, </w:t>
            </w:r>
            <w:r>
              <w:rPr>
                <w:rFonts w:ascii="Aptos" w:hAnsi="Aptos" w:cs="Aptos" w:eastAsia="Aptos"/>
                <w:b/>
                <w:i w:val="0"/>
                <w:color w:val="2B2B2B"/>
                <w:sz w:val="17"/>
              </w:rPr>
              <w:t>sem qualquer registo na DGAV</w:t>
            </w:r>
            <w:r>
              <w:rPr>
                <w:rFonts w:ascii="Aptos" w:hAnsi="Aptos" w:cs="Aptos" w:eastAsia="Aptos"/>
                <w:b w:val="0"/>
                <w:i w:val="0"/>
                <w:color w:val="2B2B2B"/>
                <w:sz w:val="17"/>
              </w:rPr>
              <w:t>, já antes objeto de vistorias conjuntas e de processos de contraordenação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21.7.2020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Secretaria de Estado da Agricultura e do Desenvolvimento Rural divulga «Esclarecimento sobre legalidade dos alojamentos de hospedagem de animais sem fins lucrativos afetados pelo incêndio de Santo Tirso»: os dois espaços </w:t>
            </w:r>
            <w:r>
              <w:rPr>
                <w:rFonts w:ascii="Aptos" w:hAnsi="Aptos" w:cs="Aptos" w:eastAsia="Aptos"/>
                <w:b/>
                <w:i w:val="0"/>
                <w:color w:val="2B2B2B"/>
                <w:sz w:val="17"/>
              </w:rPr>
              <w:t>nunca cumpriram os procedimentos do Decreto-Lei n.º 276/2001</w:t>
            </w:r>
            <w:r>
              <w:rPr>
                <w:rFonts w:ascii="Aptos" w:hAnsi="Aptos" w:cs="Aptos" w:eastAsia="Aptos"/>
                <w:b w:val="0"/>
                <w:i w:val="0"/>
                <w:color w:val="2B2B2B"/>
                <w:sz w:val="17"/>
              </w:rPr>
              <w:t xml:space="preserve">; invoca esse diploma, o </w:t>
            </w:r>
            <w:r>
              <w:rPr>
                <w:rFonts w:ascii="Aptos" w:hAnsi="Aptos" w:cs="Aptos" w:eastAsia="Aptos"/>
                <w:b/>
                <w:i w:val="0"/>
                <w:color w:val="2B2B2B"/>
                <w:sz w:val="17"/>
              </w:rPr>
              <w:t>artigo 4.º do Decreto-Lei n.º 116/98</w:t>
            </w:r>
            <w:r>
              <w:rPr>
                <w:rFonts w:ascii="Aptos" w:hAnsi="Aptos" w:cs="Aptos" w:eastAsia="Aptos"/>
                <w:b w:val="0"/>
                <w:i w:val="0"/>
                <w:color w:val="2B2B2B"/>
                <w:sz w:val="17"/>
              </w:rPr>
              <w:t xml:space="preserve"> e o Despacho n.º 6928/2020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câmara </w:t>
            </w:r>
            <w:r>
              <w:rPr>
                <w:rFonts w:ascii="Aptos" w:hAnsi="Aptos" w:cs="Aptos" w:eastAsia="Aptos"/>
                <w:b/>
                <w:i w:val="0"/>
                <w:color w:val="2B2B2B"/>
                <w:sz w:val="17"/>
              </w:rPr>
              <w:t>suspende o médico veterinário municipal</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23.7.2020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Assembleia da República aprova a audição do presidente da câmara, realizada a 30 de julho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presidente da câmara declara publicamente que só «nos últimos dias» tomou conhecimento do documento de 2012, e invoca o parecer de 2018 (ver adiante — é a peça mais reveladora do caso)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1.10.2020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Entra em vigor o artigo 1.º-A da Lei n.º 92/95, aditado pela Lei n.º 39/2020 — </w:t>
            </w:r>
            <w:r>
              <w:rPr>
                <w:rFonts w:ascii="Aptos" w:hAnsi="Aptos" w:cs="Aptos" w:eastAsia="Aptos"/>
                <w:b/>
                <w:i w:val="0"/>
                <w:color w:val="2B2B2B"/>
                <w:sz w:val="17"/>
              </w:rPr>
              <w:t>posterior ao incêndio</w:t>
            </w:r>
            <w:r>
              <w:rPr>
                <w:rFonts w:ascii="Aptos" w:hAnsi="Aptos" w:cs="Aptos" w:eastAsia="Aptos"/>
                <w:b w:val="0"/>
                <w:i w:val="0"/>
                <w:color w:val="2B2B2B"/>
                <w:sz w:val="17"/>
              </w:rPr>
              <w:t xml:space="preserve"> (ver adiante)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fim de 2022</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Ministério Público </w:t>
            </w:r>
            <w:r>
              <w:rPr>
                <w:rFonts w:ascii="Aptos" w:hAnsi="Aptos" w:cs="Aptos" w:eastAsia="Aptos"/>
                <w:b/>
                <w:i w:val="0"/>
                <w:color w:val="2B2B2B"/>
                <w:sz w:val="17"/>
              </w:rPr>
              <w:t>arquiva</w:t>
            </w:r>
            <w:r>
              <w:rPr>
                <w:rFonts w:ascii="Aptos" w:hAnsi="Aptos" w:cs="Aptos" w:eastAsia="Aptos"/>
                <w:b w:val="0"/>
                <w:i w:val="0"/>
                <w:color w:val="2B2B2B"/>
                <w:sz w:val="17"/>
              </w:rPr>
              <w:t xml:space="preserve"> o processo por insuficiência de prova</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26.3.2023</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w:t>
            </w:r>
            <w:r>
              <w:rPr>
                <w:rFonts w:ascii="Aptos" w:hAnsi="Aptos" w:cs="Aptos" w:eastAsia="Aptos"/>
                <w:b/>
                <w:i w:val="0"/>
                <w:color w:val="2B2B2B"/>
                <w:sz w:val="17"/>
              </w:rPr>
              <w:t>reaberto</w:t>
            </w:r>
            <w:r>
              <w:rPr>
                <w:rFonts w:ascii="Aptos" w:hAnsi="Aptos" w:cs="Aptos" w:eastAsia="Aptos"/>
                <w:b w:val="0"/>
                <w:i w:val="0"/>
                <w:color w:val="2B2B2B"/>
                <w:sz w:val="17"/>
              </w:rPr>
              <w:t>, após mobilização do PAN e de associações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dez. 2024</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remetido para julgamento. Entre os arguidos, o </w:t>
            </w:r>
            <w:r>
              <w:rPr>
                <w:rFonts w:ascii="Aptos" w:hAnsi="Aptos" w:cs="Aptos" w:eastAsia="Aptos"/>
                <w:b/>
                <w:i w:val="0"/>
                <w:color w:val="2B2B2B"/>
                <w:sz w:val="17"/>
              </w:rPr>
              <w:t>ex-médico veterinário municipal</w:t>
            </w:r>
            <w:r>
              <w:rPr>
                <w:rFonts w:ascii="Aptos" w:hAnsi="Aptos" w:cs="Aptos" w:eastAsia="Aptos"/>
                <w:b w:val="0"/>
                <w:i w:val="0"/>
                <w:color w:val="2B2B2B"/>
                <w:sz w:val="17"/>
              </w:rPr>
              <w:t xml:space="preserve"> (acusado de conhecer os abrigos ilegais e de não ter agido em tempo) e a </w:t>
            </w:r>
            <w:r>
              <w:rPr>
                <w:rFonts w:ascii="Aptos" w:hAnsi="Aptos" w:cs="Aptos" w:eastAsia="Aptos"/>
                <w:b/>
                <w:i w:val="0"/>
                <w:color w:val="2B2B2B"/>
                <w:sz w:val="17"/>
              </w:rPr>
              <w:t>coordenadora municipal da Proteção Civil</w:t>
            </w:r>
            <w:r>
              <w:rPr>
                <w:rFonts w:ascii="Aptos" w:hAnsi="Aptos" w:cs="Aptos" w:eastAsia="Aptos"/>
                <w:b w:val="0"/>
                <w:i w:val="0"/>
                <w:color w:val="2B2B2B"/>
                <w:sz w:val="17"/>
              </w:rPr>
              <w:t xml:space="preserve"> (acusada de não ter respondido aos alertas), além dos responsáveis dos dois abrigos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24.2.2026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do julgamento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9.9.2026</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Tribunal de Matosinhos absolve os cinco arguidos. O coletivo consigna que nenhum dos dois titulares de cargos públicos tinha poderes para ordenar a </w:t>
            </w:r>
            <w:r>
              <w:rPr>
                <w:rFonts w:ascii="Aptos" w:hAnsi="Aptos" w:cs="Aptos" w:eastAsia="Aptos"/>
                <w:b/>
                <w:i w:val="0"/>
                <w:color w:val="2B2B2B"/>
                <w:sz w:val="17"/>
              </w:rPr>
              <w:t>evacuação forçada</w:t>
            </w:r>
            <w:r>
              <w:rPr>
                <w:rFonts w:ascii="Aptos" w:hAnsi="Aptos" w:cs="Aptos" w:eastAsia="Aptos"/>
                <w:b w:val="0"/>
                <w:i w:val="0"/>
                <w:color w:val="2B2B2B"/>
                <w:sz w:val="17"/>
              </w:rPr>
              <w:t xml:space="preserve"> dos espaços privados na noite do incêndio. Em julgamento, o </w:t>
            </w:r>
            <w:r>
              <w:rPr>
                <w:rFonts w:ascii="Aptos" w:hAnsi="Aptos" w:cs="Aptos" w:eastAsia="Aptos"/>
                <w:b/>
                <w:i w:val="0"/>
                <w:color w:val="2B2B2B"/>
                <w:sz w:val="17"/>
              </w:rPr>
              <w:t>Ministério Público</w:t>
            </w:r>
            <w:r>
              <w:rPr>
                <w:rFonts w:ascii="Aptos" w:hAnsi="Aptos" w:cs="Aptos" w:eastAsia="Aptos"/>
                <w:b w:val="0"/>
                <w:i w:val="0"/>
                <w:color w:val="2B2B2B"/>
                <w:sz w:val="17"/>
              </w:rPr>
              <w:t xml:space="preserve"> havia já declarado não ver prova de crime; o </w:t>
            </w:r>
            <w:r>
              <w:rPr>
                <w:rFonts w:ascii="Aptos" w:hAnsi="Aptos" w:cs="Aptos" w:eastAsia="Aptos"/>
                <w:b/>
                <w:i w:val="0"/>
                <w:color w:val="2B2B2B"/>
                <w:sz w:val="17"/>
              </w:rPr>
              <w:t>PAN</w:t>
            </w:r>
            <w:r>
              <w:rPr>
                <w:rFonts w:ascii="Aptos" w:hAnsi="Aptos" w:cs="Aptos" w:eastAsia="Aptos"/>
                <w:b w:val="0"/>
                <w:i w:val="0"/>
                <w:color w:val="2B2B2B"/>
                <w:sz w:val="17"/>
              </w:rPr>
              <w:t xml:space="preserve">, assistente, anunciou </w:t>
            </w:r>
            <w:r>
              <w:rPr>
                <w:rFonts w:ascii="Aptos" w:hAnsi="Aptos" w:cs="Aptos" w:eastAsia="Aptos"/>
                <w:b/>
                <w:i w:val="0"/>
                <w:color w:val="2B2B2B"/>
                <w:sz w:val="17"/>
              </w:rPr>
              <w:t>recurso</w:t>
            </w:r>
            <w:r>
              <w:rPr>
                <w:rFonts w:ascii="Aptos" w:hAnsi="Aptos" w:cs="Aptos" w:eastAsia="Aptos"/>
                <w:b w:val="0"/>
                <w:i w:val="0"/>
                <w:color w:val="2B2B2B"/>
                <w:sz w:val="17"/>
              </w:rPr>
              <w:t xml:space="preserve"> — a decisão </w:t>
            </w:r>
            <w:r>
              <w:rPr>
                <w:rFonts w:ascii="Aptos" w:hAnsi="Aptos" w:cs="Aptos" w:eastAsia="Aptos"/>
                <w:b/>
                <w:i w:val="0"/>
                <w:color w:val="2B2B2B"/>
                <w:sz w:val="17"/>
              </w:rPr>
              <w:t>não é definitiva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Número de animais mortos.</w:t>
            </w:r>
            <w:r>
              <w:rPr>
                <w:rFonts w:ascii="Aptos" w:hAnsi="Aptos" w:cs="Aptos" w:eastAsia="Aptos"/>
                <w:b w:val="0"/>
                <w:i w:val="0"/>
                <w:color w:val="2B2B2B"/>
                <w:sz w:val="19"/>
              </w:rPr>
              <w:t xml:space="preserve"> As fontes divergem — 54, 73 («69 cães e 4 gatos»), 92 e 93 —, conforme o momento da contagem e conforme se contem os animais mortos no incêndio ou também os que morreram depois. O estudo não fixa um número: o que é juridicamente relevante é que morreram </w:t>
            </w:r>
            <w:r>
              <w:rPr>
                <w:rFonts w:ascii="Aptos" w:hAnsi="Aptos" w:cs="Aptos" w:eastAsia="Aptos"/>
                <w:b/>
                <w:i w:val="0"/>
                <w:color w:val="2B2B2B"/>
                <w:sz w:val="19"/>
              </w:rPr>
              <w:t>dezenas de animais em espaços sem registo</w:t>
            </w:r>
            <w:r>
              <w:rPr>
                <w:rFonts w:ascii="Aptos" w:hAnsi="Aptos" w:cs="Aptos" w:eastAsia="Aptos"/>
                <w:b w:val="0"/>
                <w:i w:val="0"/>
                <w:color w:val="2B2B2B"/>
                <w:sz w:val="19"/>
              </w:rPr>
              <w:t>, sobre os quais havia vistorias desde 2006.</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caso não decide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Respeita a dois titulares de cargos, não à câmara municipal.</w:t>
      </w:r>
      <w:r>
        <w:rPr>
          <w:rFonts w:ascii="Aptos" w:hAnsi="Aptos" w:cs="Aptos" w:eastAsia="Aptos"/>
          <w:b w:val="0"/>
          <w:i w:val="0"/>
          <w:color w:val="2B2B2B"/>
          <w:sz w:val="20"/>
        </w:rPr>
        <w:t xml:space="preserve"> O n.º 5 do artigo 3.º confere o poder «às câmaras municipais», e exige vistoria conjunta prévia: é ato do órgão colegial, precedido de procedimento. O médico veterinário municipal e a coordenadora da Proteção Civil não são a câmara.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Respeita a uma evacuação forçada na noite de um incêndio</w:t>
      </w:r>
      <w:r>
        <w:rPr>
          <w:rFonts w:ascii="Aptos" w:hAnsi="Aptos" w:cs="Aptos" w:eastAsia="Aptos"/>
          <w:b w:val="0"/>
          <w:i w:val="0"/>
          <w:color w:val="2B2B2B"/>
          <w:sz w:val="20"/>
        </w:rPr>
        <w:t xml:space="preserve"> — medida de emergência de proteção civil —, e não à notificação para remoção do n.º 5, que é ato de polícia sanitária com procedimento próprio e prazo fixado.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é, pelo percurso do processo, uma decisão sobre factos e imputação, não sobre competências legais.</w:t>
      </w:r>
      <w:r>
        <w:rPr>
          <w:rFonts w:ascii="Aptos" w:hAnsi="Aptos" w:cs="Aptos" w:eastAsia="Aptos"/>
          <w:b w:val="0"/>
          <w:i w:val="0"/>
          <w:color w:val="2B2B2B"/>
          <w:sz w:val="20"/>
        </w:rPr>
        <w:t xml:space="preserve"> O processo foi arquivado pelo Ministério Público no final de 2022 por insuficiência de prova, reaberto em março de 2023 por impulso do PAN e de associações, e em julgamento o próprio Ministério Público declarou não ver prova de crime. Antes disso, já um processo-crime de 2018 relativo ao mesmo abrigo havia sido arquivado. Uma absolvição neste percurso não é uma declaração de que os municípios não têm poderes: é o desfecho de um processo em que a acusação não se sustentou.</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Encerrar não é retirar.</w:t>
      </w:r>
      <w:r>
        <w:rPr>
          <w:rFonts w:ascii="Aptos" w:hAnsi="Aptos" w:cs="Aptos" w:eastAsia="Aptos"/>
          <w:b w:val="0"/>
          <w:i w:val="0"/>
          <w:color w:val="2B2B2B"/>
          <w:sz w:val="20"/>
        </w:rPr>
        <w:t xml:space="preserve"> O parecer de 2018 concluiu que as câmaras não podem </w:t>
      </w:r>
      <w:r>
        <w:rPr>
          <w:rFonts w:ascii="Aptos" w:hAnsi="Aptos" w:cs="Aptos" w:eastAsia="Aptos"/>
          <w:b/>
          <w:i w:val="0"/>
          <w:color w:val="2B2B2B"/>
          <w:sz w:val="20"/>
        </w:rPr>
        <w:t>encerrar</w:t>
      </w:r>
      <w:r>
        <w:rPr>
          <w:rFonts w:ascii="Aptos" w:hAnsi="Aptos" w:cs="Aptos" w:eastAsia="Aptos"/>
          <w:b w:val="0"/>
          <w:i w:val="0"/>
          <w:color w:val="2B2B2B"/>
          <w:sz w:val="20"/>
        </w:rPr>
        <w:t>, e está certo: determinar o encerramento de um alojamento é competência do diretor-geral de Alimentação e Veterinária, pelo n.º 1 do artigo 3.º-G do Decreto-Lei n.º 276/2001. Este estudo nunca afirmou o contrário — embora até agora tenha indicado para isso o fundamento errado, o que se corrige adiante.</w:t>
      </w:r>
    </w:p>
    <w:p>
      <w:pPr>
        <w:keepNext/>
        <w:spacing w:before="200" w:after="60" w:line="293" w:lineRule="auto"/>
      </w:pPr>
      <w:r>
        <w:rPr>
          <w:rFonts w:ascii="Aptos" w:hAnsi="Aptos" w:cs="Aptos" w:eastAsia="Aptos"/>
          <w:b/>
          <w:i w:val="0"/>
          <w:color w:val="5C7891"/>
          <w:sz w:val="19"/>
        </w:rPr>
        <w:t>O que o caso confirma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articulação real vai no sentido aqui sustentado.</w:t>
      </w:r>
      <w:r>
        <w:rPr>
          <w:rFonts w:ascii="Aptos" w:hAnsi="Aptos" w:cs="Aptos" w:eastAsia="Aptos"/>
          <w:b w:val="0"/>
          <w:i w:val="0"/>
          <w:color w:val="2B2B2B"/>
          <w:sz w:val="20"/>
        </w:rPr>
        <w:t xml:space="preserve"> Em 2012 foi a DGAV a dirigir-se à câmara a propósito do abrigo; e em 2020 foi o presidente da câmara a descrever a sequência legal identificando a autoridade administrativa dela como sendo, «neste caso, a câmara». As duas autoridades envolvidas, em momentos e com interesses opostos, colocaram o município no mesmo lugar — o do n.º 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com factos, a inibição descrita no ponto 15.7.</w:t>
      </w:r>
      <w:r>
        <w:rPr>
          <w:rFonts w:ascii="Aptos" w:hAnsi="Aptos" w:cs="Aptos" w:eastAsia="Aptos"/>
          <w:b w:val="0"/>
          <w:i w:val="0"/>
          <w:color w:val="2B2B2B"/>
          <w:sz w:val="20"/>
        </w:rPr>
        <w:t xml:space="preserve"> Abrigos não registados em zona rural, com vistorias feitas e contraordenações instauradas, e animais que ali permaneceram até morrerem. O sistema reativo não impediu nada.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cronologia mede a inércia com precisão.</w:t>
      </w:r>
      <w:r>
        <w:rPr>
          <w:rFonts w:ascii="Aptos" w:hAnsi="Aptos" w:cs="Aptos" w:eastAsia="Aptos"/>
          <w:b w:val="0"/>
          <w:i w:val="0"/>
          <w:color w:val="2B2B2B"/>
          <w:sz w:val="20"/>
        </w:rPr>
        <w:t xml:space="preserve"> Pelo próprio esclarecimento do Governo, havia vistorias desde 2006, intervenção da DGAV em vistorias conjuntas desde 2010, sanções contraordenacionais aplicadas, e um pedido expresso de remoção em 2012. São </w:t>
      </w:r>
      <w:r>
        <w:rPr>
          <w:rFonts w:ascii="Aptos" w:hAnsi="Aptos" w:cs="Aptos" w:eastAsia="Aptos"/>
          <w:b/>
          <w:i w:val="0"/>
          <w:color w:val="2B2B2B"/>
          <w:sz w:val="20"/>
        </w:rPr>
        <w:t>catorze anos</w:t>
      </w:r>
      <w:r>
        <w:rPr>
          <w:rFonts w:ascii="Aptos" w:hAnsi="Aptos" w:cs="Aptos" w:eastAsia="Aptos"/>
          <w:b w:val="0"/>
          <w:i w:val="0"/>
          <w:color w:val="2B2B2B"/>
          <w:sz w:val="20"/>
        </w:rPr>
        <w:t xml:space="preserve"> de atuação formalmente correta e materialmente inútil. Nenhum dos instrumentos usados — vistoria, contraordenação, pedido de remoção — retirou um animal.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que a falta de registo não impede a intervenção.</w:t>
      </w:r>
      <w:r>
        <w:rPr>
          <w:rFonts w:ascii="Aptos" w:hAnsi="Aptos" w:cs="Aptos" w:eastAsia="Aptos"/>
          <w:b w:val="0"/>
          <w:i w:val="0"/>
          <w:color w:val="2B2B2B"/>
          <w:sz w:val="20"/>
        </w:rPr>
        <w:t xml:space="preserve"> O Governo afirma que os espaços «nunca cumpriram os procedimentos» do Decreto-Lei n.º 276/2001 e, no mesmo texto, descreve vistorias e sanções aplicadas ao seu abrigo. É exatamente a leitura sustentada no ponto 15.7: o que desencadeia o regime dos alojamentos é a </w:t>
      </w:r>
      <w:r>
        <w:rPr>
          <w:rFonts w:ascii="Aptos" w:hAnsi="Aptos" w:cs="Aptos" w:eastAsia="Aptos"/>
          <w:b/>
          <w:i w:val="0"/>
          <w:color w:val="2B2B2B"/>
          <w:sz w:val="20"/>
        </w:rPr>
        <w:t>atividade</w:t>
      </w:r>
      <w:r>
        <w:rPr>
          <w:rFonts w:ascii="Aptos" w:hAnsi="Aptos" w:cs="Aptos" w:eastAsia="Aptos"/>
          <w:b w:val="0"/>
          <w:i w:val="0"/>
          <w:color w:val="2B2B2B"/>
          <w:sz w:val="20"/>
        </w:rPr>
        <w:t>, não o registo — quem não se registou não fica fora do regime, fica em infração dentro dele.</w:t>
      </w:r>
    </w:p>
    <w:p>
      <w:pPr>
        <w:keepNext/>
        <w:spacing w:before="200" w:after="60" w:line="293" w:lineRule="auto"/>
      </w:pPr>
      <w:r>
        <w:rPr>
          <w:rFonts w:ascii="Aptos" w:hAnsi="Aptos" w:cs="Aptos" w:eastAsia="Aptos"/>
          <w:b/>
          <w:i w:val="0"/>
          <w:color w:val="5C7891"/>
          <w:sz w:val="19"/>
        </w:rPr>
        <w:t>A norma que faltava a este estudo: o artigo 3.º-G</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que segue corrige o presente estudo. Até aqui, o encerramento de um alojamento foi aqui tratado como sanção acessória dos artigos 69.º e 70.º do Decreto-Lei n.º 276/2001. Está errado, ou pelo menos incompleto: existe no mesmo diploma uma norma autónoma de polícia administrativa, o artigo 3.º-G, que não tinha sido considerada e que muda o quadro da questão 8. Foi localizada a partir do requerimento do Grupo Parlamentar do PAN de 22 de julho de 2020 e conferida no Diário da República.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diretor-geral de Alimentação e Veterinária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a) Existência de riscos higiossanitários que ponham em causa a saúde das pessoas e ou dos animais;</w:t>
            </w:r>
          </w:p>
          <w:p>
            <w:pPr>
              <w:spacing w:before="0" w:after="80" w:line="293" w:lineRule="auto"/>
              <w:jc w:val="both"/>
            </w:pPr>
            <w:r>
              <w:rPr>
                <w:rFonts w:ascii="Aptos" w:hAnsi="Aptos" w:cs="Aptos" w:eastAsia="Aptos"/>
                <w:b w:val="0"/>
                <w:i/>
                <w:color w:val="2B2B2B"/>
                <w:sz w:val="19"/>
              </w:rPr>
              <w:t>b) Maus tratos aos animais;</w:t>
            </w:r>
          </w:p>
          <w:p>
            <w:pPr>
              <w:spacing w:before="0" w:after="80" w:line="293" w:lineRule="auto"/>
              <w:jc w:val="both"/>
            </w:pPr>
            <w:r>
              <w:rPr>
                <w:rFonts w:ascii="Aptos" w:hAnsi="Aptos" w:cs="Aptos" w:eastAsia="Aptos"/>
                <w:b w:val="0"/>
                <w:i/>
                <w:color w:val="2B2B2B"/>
                <w:sz w:val="19"/>
              </w:rPr>
              <w:t>c) Existência de graves problemas de saúde e bem-estar dos animais;</w:t>
            </w:r>
          </w:p>
          <w:p>
            <w:pPr>
              <w:spacing w:before="0" w:after="80" w:line="293" w:lineRule="auto"/>
              <w:jc w:val="both"/>
            </w:pPr>
            <w:r>
              <w:rPr>
                <w:rFonts w:ascii="Aptos" w:hAnsi="Aptos" w:cs="Aptos" w:eastAsia="Aptos"/>
                <w:b w:val="0"/>
                <w:i/>
                <w:color w:val="2B2B2B"/>
                <w:sz w:val="19"/>
              </w:rPr>
              <w:t>d) Falta de condições de segurança e de tranquilidade para as pessoas ou animais, bem como de proteção do meio ambiente.</w:t>
            </w:r>
          </w:p>
          <w:p>
            <w:pPr>
              <w:spacing w:before="0" w:after="80" w:line="293" w:lineRule="auto"/>
              <w:jc w:val="both"/>
            </w:pPr>
            <w:r>
              <w:rPr>
                <w:rFonts w:ascii="Aptos" w:hAnsi="Aptos" w:cs="Aptos" w:eastAsia="Aptos"/>
                <w:b w:val="0"/>
                <w:i/>
                <w:color w:val="2B2B2B"/>
                <w:sz w:val="19"/>
              </w:rPr>
              <w:t>[…]</w:t>
            </w:r>
          </w:p>
          <w:p>
            <w:pPr>
              <w:spacing w:before="0" w:after="80" w:line="293" w:lineRule="auto"/>
              <w:jc w:val="both"/>
            </w:pPr>
            <w:r>
              <w:rPr>
                <w:rFonts w:ascii="Aptos" w:hAnsi="Aptos" w:cs="Aptos" w:eastAsia="Aptos"/>
                <w:b w:val="0"/>
                <w:i/>
                <w:color w:val="2B2B2B"/>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before="0" w:after="0" w:line="293" w:lineRule="auto"/>
              <w:jc w:val="both"/>
            </w:pPr>
            <w:r>
              <w:rPr>
                <w:rFonts w:ascii="Aptos" w:hAnsi="Aptos" w:cs="Aptos" w:eastAsia="Aptos"/>
                <w:b w:val="0"/>
                <w:i/>
                <w:color w:val="2B2B2B"/>
                <w:sz w:val="19"/>
              </w:rPr>
              <w:t>6 — Compete às câmaras municipais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5 e 6 do artigo 3.º-G do Decreto-Lei n.º 276/2001, na redação em vigor, aditado pelo Decreto-Lei n.º 260/2012, de 12 de dezembro, e conferido no Diário da República, 1.ª série, n.º 240, de 12 de dezembro de 2012, a páginas 6981 e 6982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Nota de conferência, e um erro na consolidação oficial.</w:t>
            </w:r>
            <w:r>
              <w:rPr>
                <w:rFonts w:ascii="Aptos" w:hAnsi="Aptos" w:cs="Aptos" w:eastAsia="Aptos"/>
                <w:b w:val="0"/>
                <w:i w:val="0"/>
                <w:color w:val="2B2B2B"/>
                <w:sz w:val="19"/>
              </w:rPr>
              <w:t xml:space="preserve"> A base consolidada indica como «1.ª versão» deste artigo o Decreto-Lei n.º 265/2007, de 24 de julho. </w:t>
            </w:r>
            <w:r>
              <w:rPr>
                <w:rFonts w:ascii="Aptos" w:hAnsi="Aptos" w:cs="Aptos" w:eastAsia="Aptos"/>
                <w:b/>
                <w:i w:val="0"/>
                <w:color w:val="2B2B2B"/>
                <w:sz w:val="19"/>
              </w:rPr>
              <w:t>Está errado.</w:t>
            </w:r>
            <w:r>
              <w:rPr>
                <w:rFonts w:ascii="Aptos" w:hAnsi="Aptos" w:cs="Aptos" w:eastAsia="Aptos"/>
                <w:b w:val="0"/>
                <w:i w:val="0"/>
                <w:color w:val="2B2B2B"/>
                <w:sz w:val="19"/>
              </w:rPr>
              <w:t xml:space="preserve"> Conferido o Diário da República, 1.ª série, n.º 141, de 24 de julho de 2007, esse diploma — que respeita à proteção dos animais em transporte — altera do Decreto-Lei n.º 276/2001 apenas o artigo 73.º, relativo a taxas, no seu artigo 21.º. O artigo 3.º-G foi aditado pelo Decreto-Lei n.º 260/2012, juntamente com todo o bloco dos artigos 3.º-B a 3.º-J, o que aliás se confirma pela remissão do artigo 3.º-I para o balcão único do Decreto-Lei n.º 92/2010 — posterior a 2007.</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isto significa para o método do ponto 18.2: a advertência de que o compilador localiza e o jornal oficial cita não vale apenas contra compiladores privados. </w:t>
            </w:r>
            <w:r>
              <w:rPr>
                <w:rFonts w:ascii="Aptos" w:hAnsi="Aptos" w:cs="Aptos" w:eastAsia="Aptos"/>
                <w:b/>
                <w:i w:val="0"/>
                <w:color w:val="2B2B2B"/>
                <w:sz w:val="19"/>
              </w:rPr>
              <w:t>A consolidação oficial também erra</w:t>
            </w:r>
            <w:r>
              <w:rPr>
                <w:rFonts w:ascii="Aptos" w:hAnsi="Aptos" w:cs="Aptos" w:eastAsia="Aptos"/>
                <w:b w:val="0"/>
                <w:i w:val="0"/>
                <w:color w:val="2B2B2B"/>
                <w:sz w:val="19"/>
              </w:rPr>
              <w:t>, e neste caso erra na indicação de proveniência de uma norma central para a questão 8. O texto do artigo, esse, coincide.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Três consequências, e a segunda é a mais importante deste ponto.</w:t>
            </w:r>
          </w:p>
          <w:p>
            <w:pPr>
              <w:spacing w:before="0" w:after="80" w:line="293" w:lineRule="auto"/>
              <w:jc w:val="both"/>
            </w:pPr>
            <w:r>
              <w:rPr>
                <w:rFonts w:ascii="Aptos" w:hAnsi="Aptos" w:cs="Aptos" w:eastAsia="Aptos"/>
                <w:b/>
                <w:i w:val="0"/>
                <w:color w:val="2B2B2B"/>
                <w:sz w:val="20"/>
              </w:rPr>
              <w:t>Primeira — o parecer de 2018 estava certo, mas não pela razão que este estudo lhe deu.</w:t>
            </w:r>
            <w:r>
              <w:rPr>
                <w:rFonts w:ascii="Aptos" w:hAnsi="Aptos" w:cs="Aptos" w:eastAsia="Aptos"/>
                <w:b w:val="0"/>
                <w:i w:val="0"/>
                <w:color w:val="2B2B2B"/>
                <w:sz w:val="20"/>
              </w:rPr>
              <w:t xml:space="preserve"> As câmaras não têm competência para </w:t>
            </w:r>
            <w:r>
              <w:rPr>
                <w:rFonts w:ascii="Aptos" w:hAnsi="Aptos" w:cs="Aptos" w:eastAsia="Aptos"/>
                <w:b/>
                <w:i w:val="0"/>
                <w:color w:val="2B2B2B"/>
                <w:sz w:val="20"/>
              </w:rPr>
              <w:t>determinar</w:t>
            </w:r>
            <w:r>
              <w:rPr>
                <w:rFonts w:ascii="Aptos" w:hAnsi="Aptos" w:cs="Aptos" w:eastAsia="Aptos"/>
                <w:b w:val="0"/>
                <w:i w:val="0"/>
                <w:color w:val="2B2B2B"/>
                <w:sz w:val="20"/>
              </w:rPr>
              <w:t xml:space="preserve"> o encerramento de um alojamento; tem-na o diretor-geral, e tem-na não como sanção acessória de um processo de contraordenação, mas como medida de polícia administrativa autónoma, decidida em processo próprio e fundada, entre o mais, em </w:t>
            </w:r>
            <w:r>
              <w:rPr>
                <w:rFonts w:ascii="Aptos" w:hAnsi="Aptos" w:cs="Aptos" w:eastAsia="Aptos"/>
                <w:b/>
                <w:i w:val="0"/>
                <w:color w:val="2B2B2B"/>
                <w:sz w:val="20"/>
              </w:rPr>
              <w:t>maus tratos aos animais</w:t>
            </w:r>
            <w:r>
              <w:rPr>
                <w:rFonts w:ascii="Aptos" w:hAnsi="Aptos" w:cs="Aptos" w:eastAsia="Aptos"/>
                <w:b w:val="0"/>
                <w:i w:val="0"/>
                <w:color w:val="2B2B2B"/>
                <w:sz w:val="20"/>
              </w:rPr>
              <w:t xml:space="preserve"> e em </w:t>
            </w:r>
            <w:r>
              <w:rPr>
                <w:rFonts w:ascii="Aptos" w:hAnsi="Aptos" w:cs="Aptos" w:eastAsia="Aptos"/>
                <w:b/>
                <w:i w:val="0"/>
                <w:color w:val="2B2B2B"/>
                <w:sz w:val="20"/>
              </w:rPr>
              <w:t>graves problemas de saúde e bem-estar dos animais</w:t>
            </w:r>
            <w:r>
              <w:rPr>
                <w:rFonts w:ascii="Aptos" w:hAnsi="Aptos" w:cs="Aptos" w:eastAsia="Aptos"/>
                <w:b w:val="0"/>
                <w:i w:val="0"/>
                <w:color w:val="2B2B2B"/>
                <w:sz w:val="20"/>
              </w:rPr>
              <w:t>. O fundamento correto é o artigo 3.º-G, não os artigos 69.º e 70.º.</w:t>
            </w:r>
          </w:p>
          <w:p>
            <w:pPr>
              <w:spacing w:before="0" w:after="80" w:line="293" w:lineRule="auto"/>
              <w:jc w:val="both"/>
            </w:pPr>
            <w:r>
              <w:rPr>
                <w:rFonts w:ascii="Aptos" w:hAnsi="Aptos" w:cs="Aptos" w:eastAsia="Aptos"/>
                <w:b/>
                <w:i w:val="0"/>
                <w:color w:val="2B2B2B"/>
                <w:sz w:val="20"/>
              </w:rPr>
              <w:t>Segunda — existe uma segunda base legal expressa para a remoção municipal dos animais, e é esta.</w:t>
            </w:r>
            <w:r>
              <w:rPr>
                <w:rFonts w:ascii="Aptos" w:hAnsi="Aptos" w:cs="Aptos" w:eastAsia="Aptos"/>
                <w:b w:val="0"/>
                <w:i w:val="0"/>
                <w:color w:val="2B2B2B"/>
                <w:sz w:val="20"/>
              </w:rPr>
              <w:t xml:space="preserve"> O n.º 6 diz, literalmente: «Compete às câmaras municipais executar as medidas necessárias ao cumprimento da decisão […], nomeadamente proceder, quando necessário, </w:t>
            </w:r>
            <w:r>
              <w:rPr>
                <w:rFonts w:ascii="Aptos" w:hAnsi="Aptos" w:cs="Aptos" w:eastAsia="Aptos"/>
                <w:b/>
                <w:i w:val="0"/>
                <w:color w:val="2B2B2B"/>
                <w:sz w:val="20"/>
              </w:rPr>
              <w:t>à recolha dos animais</w:t>
            </w:r>
            <w:r>
              <w:rPr>
                <w:rFonts w:ascii="Aptos" w:hAnsi="Aptos" w:cs="Aptos" w:eastAsia="Aptos"/>
                <w:b w:val="0"/>
                <w:i w:val="0"/>
                <w:color w:val="2B2B2B"/>
                <w:sz w:val="20"/>
              </w:rPr>
              <w:t xml:space="preserve">». Até aqui a resposta à questão 8 assentava apenas no n.º 5 do artigo 3.º do Decreto-Lei n.º 314/2003. Passa a assentar em dois preceitos independentes, em dois diplomas diferentes, ambos a dizer o mesmo: </w:t>
            </w:r>
            <w:r>
              <w:rPr>
                <w:rFonts w:ascii="Aptos" w:hAnsi="Aptos" w:cs="Aptos" w:eastAsia="Aptos"/>
                <w:b/>
                <w:i w:val="0"/>
                <w:color w:val="2B2B2B"/>
                <w:sz w:val="20"/>
              </w:rPr>
              <w:t>a decisão é da autoridade sanitária, a recolha é do município</w:t>
            </w:r>
            <w:r>
              <w:rPr>
                <w:rFonts w:ascii="Aptos" w:hAnsi="Aptos" w:cs="Aptos" w:eastAsia="Aptos"/>
                <w:b w:val="0"/>
                <w:i w:val="0"/>
                <w:color w:val="2B2B2B"/>
                <w:sz w:val="20"/>
              </w:rPr>
              <w:t>.</w:t>
            </w:r>
          </w:p>
          <w:p>
            <w:pPr>
              <w:spacing w:before="0" w:after="0" w:line="293" w:lineRule="auto"/>
              <w:jc w:val="both"/>
            </w:pPr>
            <w:r>
              <w:rPr>
                <w:rFonts w:ascii="Aptos" w:hAnsi="Aptos" w:cs="Aptos" w:eastAsia="Aptos"/>
                <w:b/>
                <w:i w:val="0"/>
                <w:color w:val="2B2B2B"/>
                <w:sz w:val="20"/>
              </w:rPr>
              <w:t>Terceira — o despacho da DGAV de 2012 deixa de ser um episódio e passa a ser a aplicação da lei.</w:t>
            </w:r>
            <w:r>
              <w:rPr>
                <w:rFonts w:ascii="Aptos" w:hAnsi="Aptos" w:cs="Aptos" w:eastAsia="Aptos"/>
                <w:b w:val="0"/>
                <w:i w:val="0"/>
                <w:color w:val="2B2B2B"/>
                <w:sz w:val="20"/>
              </w:rPr>
              <w:t xml:space="preserve"> Se a DGAV determinou o encerramento e pediu à câmara diligências para retirar os animais, fez exatamente o que os n.ºs 5 e 6 mandam fazer. A divergência das notícias entre «retirar» e «encerrar» resolve-se: são as duas faces da mesma norma — o diretor-geral encerra, a câmara recolhe.</w:t>
            </w:r>
          </w:p>
        </w:tc>
      </w:tr>
    </w:tbl>
    <w:p>
      <w:pPr>
        <w:spacing w:before="0" w:after="180" w:line="293" w:lineRule="auto"/>
      </w:pPr>
    </w:p>
    <w:p>
      <w:pPr>
        <w:keepNext/>
        <w:spacing w:before="200" w:after="60" w:line="293" w:lineRule="auto"/>
      </w:pPr>
      <w:r>
        <w:rPr>
          <w:rFonts w:ascii="Aptos" w:hAnsi="Aptos" w:cs="Aptos" w:eastAsia="Aptos"/>
          <w:b/>
          <w:i w:val="0"/>
          <w:color w:val="5C7891"/>
          <w:sz w:val="19"/>
        </w:rPr>
        <w:t>O intervalo de 2019, e uma citação parlamentar desatualizada</w:t>
      </w:r>
    </w:p>
    <w:p>
      <w:pPr>
        <w:spacing w:before="0" w:after="140" w:line="293" w:lineRule="auto"/>
        <w:jc w:val="both"/>
      </w:pPr>
      <w:r>
        <w:rPr>
          <w:rFonts w:ascii="Aptos" w:hAnsi="Aptos" w:cs="Aptos" w:eastAsia="Aptos"/>
          <w:b w:val="0"/>
          <w:i w:val="0"/>
          <w:color w:val="2B2B2B"/>
          <w:sz w:val="20"/>
        </w:rPr>
        <w:t>Há um pormenor de vigência que explica uma confusão pública do caso. O artigo 3.º-G foi alterado pelo Decreto-Lei n.º 20/2019, de 30 de janeiro, que transferiu para os órgãos municipais competências no domínio da proteção e saúde animal. Nessa redação, o poder de encerrar passou para o presidente da câmara.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presidente da câmara municipal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w:t>
            </w:r>
          </w:p>
          <w:p>
            <w:pPr>
              <w:spacing w:before="0" w:after="0" w:line="293" w:lineRule="auto"/>
              <w:jc w:val="both"/>
            </w:pPr>
            <w:r>
              <w:rPr>
                <w:rFonts w:ascii="Aptos" w:hAnsi="Aptos" w:cs="Aptos" w:eastAsia="Aptos"/>
                <w:b w:val="0"/>
                <w:i/>
                <w:color w:val="2B2B2B"/>
                <w:sz w:val="19"/>
              </w:rPr>
              <w:t>6 — Compete ao presidente da câmara municipal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e 6 do artigo 3.º-G do Decreto-Lei n.º 276/2001, na redação dada pelo Decreto-Lei n.º 20/2019, conferida no Diário da República, 1.ª série, n.º 21, de 30 de janeiro de 2019, a páginas 671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Essa redação vigorou pouco: 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 fez cessar a vigência de todo o Decreto-Lei n.º 20/2019, repristinando o texto anterior. O poder de encerrar voltou ao diretor-geral, e assim está hoje.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determina o encerramento</w:t>
            </w:r>
          </w:p>
        </w:tc>
        <w:tc>
          <w:tcPr>
            <w:tcW w:type="dxa" w:w="340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recolhe os animais</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29.1.2019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r>
        <w:trPr>
          <w:cantSplit/>
        </w:trPr>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30.1.2019 a 7.8.2019</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w:t>
            </w:r>
          </w:p>
        </w:tc>
        <w:tc>
          <w:tcPr>
            <w:tcW w:type="dxa" w:w="340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(n.º 6)</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8.8.2019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Consequência para a leitura pública do caso.</w:t>
            </w:r>
            <w:r>
              <w:rPr>
                <w:rFonts w:ascii="Aptos" w:hAnsi="Aptos" w:cs="Aptos" w:eastAsia="Aptos"/>
                <w:b w:val="0"/>
                <w:i w:val="0"/>
                <w:color w:val="2B2B2B"/>
                <w:sz w:val="19"/>
              </w:rPr>
              <w:t xml:space="preserve"> O requerimento do Grupo Parlamentar do PAN de 22 de julho de 2020, que fundou a audição parlamentar do presidente da câmara, censura a autarquia por nunca ter encerrado os abrigos «conforme previsto no n.º 1 do artigo 3.º-G do Decreto-lei n-º 276/2001» e transcreve esse número na versão que o atribui ao presidente da câmara municipal. Ora essa redação havia cessado a sua vigência a </w:t>
            </w:r>
            <w:r>
              <w:rPr>
                <w:rFonts w:ascii="Aptos" w:hAnsi="Aptos" w:cs="Aptos" w:eastAsia="Aptos"/>
                <w:b/>
                <w:i w:val="0"/>
                <w:color w:val="2B2B2B"/>
                <w:sz w:val="19"/>
              </w:rPr>
              <w:t>8 de agosto de 2019</w:t>
            </w:r>
            <w:r>
              <w:rPr>
                <w:rFonts w:ascii="Aptos" w:hAnsi="Aptos" w:cs="Aptos" w:eastAsia="Aptos"/>
                <w:b w:val="0"/>
                <w:i w:val="0"/>
                <w:color w:val="2B2B2B"/>
                <w:sz w:val="19"/>
              </w:rPr>
              <w:t xml:space="preserve"> — quase um ano antes do incêndio. À data dos factos, e à data do requerimento, o poder de encerrar era do diretor-geral da DGAV.</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Não se retira disto juízo sobre a substância da censura política, que não é matéria deste estudo. Retira-se o que interessa ao método: </w:t>
            </w:r>
            <w:r>
              <w:rPr>
                <w:rFonts w:ascii="Aptos" w:hAnsi="Aptos" w:cs="Aptos" w:eastAsia="Aptos"/>
                <w:b/>
                <w:i w:val="0"/>
                <w:color w:val="2B2B2B"/>
                <w:sz w:val="19"/>
              </w:rPr>
              <w:t>a premissa normativa da audição parlamentar estava desatualizada</w:t>
            </w:r>
            <w:r>
              <w:rPr>
                <w:rFonts w:ascii="Aptos" w:hAnsi="Aptos" w:cs="Aptos" w:eastAsia="Aptos"/>
                <w:b w:val="0"/>
                <w:i w:val="0"/>
                <w:color w:val="2B2B2B"/>
                <w:sz w:val="19"/>
              </w:rPr>
              <w:t>, e num sentido que deslocava a responsabilidade. É exemplo do que o ponto 18.2 sustenta — a norma cita-se contra o jornal oficial e contra a data, sempre, inclusive quando a invoca um grupo parlamentar.</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presidente da câmara disse em 2020, e o que isso concede</w:t>
      </w:r>
    </w:p>
    <w:p>
      <w:pPr>
        <w:spacing w:before="0" w:after="140" w:line="293" w:lineRule="auto"/>
        <w:jc w:val="both"/>
      </w:pPr>
      <w:r>
        <w:rPr>
          <w:rFonts w:ascii="Aptos" w:hAnsi="Aptos" w:cs="Aptos" w:eastAsia="Aptos"/>
          <w:b w:val="0"/>
          <w:i w:val="0"/>
          <w:color w:val="2B2B2B"/>
          <w:sz w:val="20"/>
        </w:rPr>
        <w:t xml:space="preserve">A peça mais reveladora do caso não é a decisão penal: são as declarações públicas do presidente da câmara em 31 de julho de 2020, quando confrontado com o documento da DGAV de 2012. Invocou o parecer de 2018 — «as câmaras não têm competência para </w:t>
      </w:r>
      <w:r>
        <w:rPr>
          <w:rFonts w:ascii="Aptos" w:hAnsi="Aptos" w:cs="Aptos" w:eastAsia="Aptos"/>
          <w:b/>
          <w:i w:val="0"/>
          <w:color w:val="2B2B2B"/>
          <w:sz w:val="20"/>
        </w:rPr>
        <w:t>encerrar</w:t>
      </w:r>
      <w:r>
        <w:rPr>
          <w:rFonts w:ascii="Aptos" w:hAnsi="Aptos" w:cs="Aptos" w:eastAsia="Aptos"/>
          <w:b w:val="0"/>
          <w:i w:val="0"/>
          <w:color w:val="2B2B2B"/>
          <w:sz w:val="20"/>
        </w:rPr>
        <w:t xml:space="preserve"> abrigos de animais» — mas acrescentou uma objeção de procedimento que vale mais do que a invocação.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deveriam ter notificado primeiro a proprietária para em cinco dias poderem encerrar [o abrigo] e, se assim não fosse, abeirar-se, então, das suas autoridades, a administrativa, neste caso a câmara, e a policial, a GNR, para encerrar esse canil.</w:t>
            </w:r>
          </w:p>
          <w:p>
            <w:pPr>
              <w:spacing w:before="120" w:after="0" w:line="293" w:lineRule="auto"/>
            </w:pPr>
            <w:r>
              <w:rPr>
                <w:rFonts w:ascii="Aptos" w:hAnsi="Aptos" w:cs="Aptos" w:eastAsia="Aptos"/>
                <w:b w:val="0"/>
                <w:i w:val="0"/>
                <w:color w:val="7C8894"/>
                <w:sz w:val="15"/>
              </w:rPr>
              <w:t>Declarações do presidente da Câmara Municipal de Santo Tirso, 31.7.2020, conforme noticiado; transcrição a partir da imprensa (ver Anexo C.5)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Leia-se ao lado do n.º 5 e do n.º 6 do artigo 3.º. O autarca descreve exatamente a sequência legal — </w:t>
            </w:r>
            <w:r>
              <w:rPr>
                <w:rFonts w:ascii="Aptos" w:hAnsi="Aptos" w:cs="Aptos" w:eastAsia="Aptos"/>
                <w:b/>
                <w:i w:val="0"/>
                <w:color w:val="2B2B2B"/>
                <w:sz w:val="20"/>
              </w:rPr>
              <w:t>notificação do detentor com prazo</w:t>
            </w:r>
            <w:r>
              <w:rPr>
                <w:rFonts w:ascii="Aptos" w:hAnsi="Aptos" w:cs="Aptos" w:eastAsia="Aptos"/>
                <w:b w:val="0"/>
                <w:i w:val="0"/>
                <w:color w:val="2B2B2B"/>
                <w:sz w:val="20"/>
              </w:rPr>
              <w:t>, e só depois recurso à «autoridade administrativa» e à autoridade policial —, e identifica a autoridade administrativa dessa sequência nestes termos: «</w:t>
            </w:r>
            <w:r>
              <w:rPr>
                <w:rFonts w:ascii="Aptos" w:hAnsi="Aptos" w:cs="Aptos" w:eastAsia="Aptos"/>
                <w:b/>
                <w:i w:val="0"/>
                <w:color w:val="2B2B2B"/>
                <w:sz w:val="20"/>
              </w:rPr>
              <w:t>neste caso a câmara</w:t>
            </w:r>
            <w:r>
              <w:rPr>
                <w:rFonts w:ascii="Aptos" w:hAnsi="Aptos" w:cs="Aptos" w:eastAsia="Aptos"/>
                <w:b w:val="0"/>
                <w:i w:val="0"/>
                <w:color w:val="2B2B2B"/>
                <w:sz w:val="20"/>
              </w:rPr>
              <w:t>».</w:t>
            </w:r>
          </w:p>
          <w:p>
            <w:pPr>
              <w:spacing w:before="0" w:after="0" w:line="293" w:lineRule="auto"/>
              <w:jc w:val="both"/>
            </w:pPr>
            <w:r>
              <w:rPr>
                <w:rFonts w:ascii="Aptos" w:hAnsi="Aptos" w:cs="Aptos" w:eastAsia="Aptos"/>
                <w:b w:val="0"/>
                <w:i w:val="0"/>
                <w:color w:val="2B2B2B"/>
                <w:sz w:val="20"/>
              </w:rPr>
              <w:t xml:space="preserve">Isto é uma concessão, e é a que interessa. O que o presidente da câmara nega é ter competência para </w:t>
            </w:r>
            <w:r>
              <w:rPr>
                <w:rFonts w:ascii="Aptos" w:hAnsi="Aptos" w:cs="Aptos" w:eastAsia="Aptos"/>
                <w:b/>
                <w:i w:val="0"/>
                <w:color w:val="2B2B2B"/>
                <w:sz w:val="20"/>
              </w:rPr>
              <w:t>encerrar</w:t>
            </w:r>
            <w:r>
              <w:rPr>
                <w:rFonts w:ascii="Aptos" w:hAnsi="Aptos" w:cs="Aptos" w:eastAsia="Aptos"/>
                <w:b w:val="0"/>
                <w:i w:val="0"/>
                <w:color w:val="2B2B2B"/>
                <w:sz w:val="20"/>
              </w:rPr>
              <w:t xml:space="preserve"> — e nisso tem razão, pelo n.º 1 do artigo 3.º-G. O que ele </w:t>
            </w:r>
            <w:r>
              <w:rPr>
                <w:rFonts w:ascii="Aptos" w:hAnsi="Aptos" w:cs="Aptos" w:eastAsia="Aptos"/>
                <w:b/>
                <w:i w:val="0"/>
                <w:color w:val="2B2B2B"/>
                <w:sz w:val="20"/>
              </w:rPr>
              <w:t>não</w:t>
            </w:r>
            <w:r>
              <w:rPr>
                <w:rFonts w:ascii="Aptos" w:hAnsi="Aptos" w:cs="Aptos" w:eastAsia="Aptos"/>
                <w:b w:val="0"/>
                <w:i w:val="0"/>
                <w:color w:val="2B2B2B"/>
                <w:sz w:val="20"/>
              </w:rPr>
              <w:t xml:space="preserve"> nega é ser a câmara a autoridade administrativa que intervém depois da notificação. Nega-se a competência que a lei não lhe dá, e admite-se a posição que a lei lhe atribui — que é, palavra por palavra, a do n.º 6 do mesmo artigo.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 a descrição é exata.</w:t>
            </w:r>
            <w:r>
              <w:rPr>
                <w:rFonts w:ascii="Aptos" w:hAnsi="Aptos" w:cs="Aptos" w:eastAsia="Aptos"/>
                <w:b w:val="0"/>
                <w:i w:val="0"/>
                <w:color w:val="2B2B2B"/>
                <w:sz w:val="20"/>
              </w:rPr>
              <w:t xml:space="preserve"> Os «cinco dias» não são invenção nem lapso: são o n.º 5 do artigo 3.º-G — «no prazo fixado pela DGAV, o qual não deve exceder </w:t>
            </w:r>
            <w:r>
              <w:rPr>
                <w:rFonts w:ascii="Aptos" w:hAnsi="Aptos" w:cs="Aptos" w:eastAsia="Aptos"/>
                <w:b/>
                <w:i w:val="0"/>
                <w:color w:val="2B2B2B"/>
                <w:sz w:val="20"/>
              </w:rPr>
              <w:t>cinco dias úteis</w:t>
            </w:r>
            <w:r>
              <w:rPr>
                <w:rFonts w:ascii="Aptos" w:hAnsi="Aptos" w:cs="Aptos" w:eastAsia="Aptos"/>
                <w:b w:val="0"/>
                <w:i w:val="0"/>
                <w:color w:val="2B2B2B"/>
                <w:sz w:val="20"/>
              </w:rPr>
              <w:t xml:space="preserve">, sob pena de ser solicitado às </w:t>
            </w:r>
            <w:r>
              <w:rPr>
                <w:rFonts w:ascii="Aptos" w:hAnsi="Aptos" w:cs="Aptos" w:eastAsia="Aptos"/>
                <w:b/>
                <w:i w:val="0"/>
                <w:color w:val="2B2B2B"/>
                <w:sz w:val="20"/>
              </w:rPr>
              <w:t>autoridades administrativas e policiais competentes</w:t>
            </w:r>
            <w:r>
              <w:rPr>
                <w:rFonts w:ascii="Aptos" w:hAnsi="Aptos" w:cs="Aptos" w:eastAsia="Aptos"/>
                <w:b w:val="0"/>
                <w:i w:val="0"/>
                <w:color w:val="2B2B2B"/>
                <w:sz w:val="20"/>
              </w:rPr>
              <w:t xml:space="preserve"> o encerramento compulsivo». O autarca estava a descrever, com precisão, a norma que acabou de se transcrever. O que ele chamou «autoridade administrativa, neste caso a câmara» é o que o n.º 6 chama, sem margem para dúvida, «compete às câmaras municipais executar […], nomeadamente proceder […] à recolha dos animais».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Fica assim esclarecido o que este estudo tinha por resolver quanto à questão 8 e resolvia com uma só norma. A defesa pública do município, em 2020, não foi a de não ter poderes: foi a de que a DGAV não teria percorrido o procedimento que faz nascer o dever municipal de executar. É uma objeção de procedimento, e pressupõe necessariamente a competência que se diz não ter sido acionada.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Duas coisas distintas, e convém não as somar. Que o município seja a autoridade de execução é agora seguro, e por duas vias — n.º 6 do artigo 3.º-G do Decreto-Lei n.º 276/2001 e n.º 5 do artigo 3.º do Decreto-Lei n.º 314/2003. Que o município deva agir por iniciativa própria sem decisão prévia da DGAV é outra questão, e a resposta difere entre as duas vias: no artigo 3.º-G a câmara executa uma decisão alheia; no n.º 5 do artigo 3.º é a própria câmara que notifica, após vistoria conjunta do delegado de saúde e do médico veterinário municipal. </w:t>
            </w:r>
            <w:r>
              <w:rPr>
                <w:rFonts w:ascii="Aptos" w:hAnsi="Aptos" w:cs="Aptos" w:eastAsia="Aptos"/>
                <w:b/>
                <w:i w:val="0"/>
                <w:color w:val="2B2B2B"/>
                <w:sz w:val="19"/>
              </w:rPr>
              <w:t>A segunda via é autónoma; a primeira não.</w:t>
            </w:r>
            <w:r>
              <w:rPr>
                <w:rFonts w:ascii="Aptos" w:hAnsi="Aptos" w:cs="Aptos" w:eastAsia="Aptos"/>
                <w:b w:val="0"/>
                <w:i w:val="0"/>
                <w:color w:val="2B2B2B"/>
                <w:sz w:val="19"/>
              </w:rPr>
              <w:t xml:space="preserve"> Quem quiser sustentar a inércia municipal como legalmente imposta tem de responder pela segunda, e ninguém, no caso, o fez.</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Divergência de fonte, assinalada.</w:t>
            </w:r>
            <w:r>
              <w:rPr>
                <w:rFonts w:ascii="Aptos" w:hAnsi="Aptos" w:cs="Aptos" w:eastAsia="Aptos"/>
                <w:b w:val="0"/>
                <w:i w:val="0"/>
                <w:color w:val="2B2B2B"/>
                <w:sz w:val="19"/>
              </w:rPr>
              <w:t xml:space="preserve"> As notícias não coincidem quanto ao conteúdo do documento da DGAV de 2012: umas dizem que «solicitava diligências à câmara» para </w:t>
            </w:r>
            <w:r>
              <w:rPr>
                <w:rFonts w:ascii="Aptos" w:hAnsi="Aptos" w:cs="Aptos" w:eastAsia="Aptos"/>
                <w:b/>
                <w:i w:val="0"/>
                <w:color w:val="2B2B2B"/>
                <w:sz w:val="19"/>
              </w:rPr>
              <w:t>retirar os animais</w:t>
            </w:r>
            <w:r>
              <w:rPr>
                <w:rFonts w:ascii="Aptos" w:hAnsi="Aptos" w:cs="Aptos" w:eastAsia="Aptos"/>
                <w:b w:val="0"/>
                <w:i w:val="0"/>
                <w:color w:val="2B2B2B"/>
                <w:sz w:val="19"/>
              </w:rPr>
              <w:t xml:space="preserve">, outras que solicitava o </w:t>
            </w:r>
            <w:r>
              <w:rPr>
                <w:rFonts w:ascii="Aptos" w:hAnsi="Aptos" w:cs="Aptos" w:eastAsia="Aptos"/>
                <w:b/>
                <w:i w:val="0"/>
                <w:color w:val="2B2B2B"/>
                <w:sz w:val="19"/>
              </w:rPr>
              <w:t>encerramento</w:t>
            </w:r>
            <w:r>
              <w:rPr>
                <w:rFonts w:ascii="Aptos" w:hAnsi="Aptos" w:cs="Aptos" w:eastAsia="Aptos"/>
                <w:b w:val="0"/>
                <w:i w:val="0"/>
                <w:color w:val="2B2B2B"/>
                <w:sz w:val="19"/>
              </w:rPr>
              <w:t xml:space="preserve"> do abrigo. A diferença não é de somenos, porque as duas coisas têm regimes distintos e autoridades distintas. Não se obteve o documento; o estudo não fixa a sua redação.</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coerência interna favorece a primeira versão. A DGAV não precisaria de pedir à câmara que encerrasse, porque o encerramento é competência sua, pelos artigos 69.º e 70.º do Decreto-Lei n.º 276/2001. Pedir à câmara que </w:t>
            </w:r>
            <w:r>
              <w:rPr>
                <w:rFonts w:ascii="Aptos" w:hAnsi="Aptos" w:cs="Aptos" w:eastAsia="Aptos"/>
                <w:b/>
                <w:i w:val="0"/>
                <w:color w:val="2B2B2B"/>
                <w:sz w:val="19"/>
              </w:rPr>
              <w:t>retire os animais</w:t>
            </w:r>
            <w:r>
              <w:rPr>
                <w:rFonts w:ascii="Aptos" w:hAnsi="Aptos" w:cs="Aptos" w:eastAsia="Aptos"/>
                <w:b w:val="0"/>
                <w:i w:val="0"/>
                <w:color w:val="2B2B2B"/>
                <w:sz w:val="19"/>
              </w:rPr>
              <w:t xml:space="preserve"> é, ao contrário, exatamente o que a lei manda pedir-lhe — é o n.º 5 do artigo 3.º. Mas isto é inferência a partir da arquitetura legal, não leitura do documento.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A raiz institucional: o estatuto do médico veterinário municipal</w:t>
      </w:r>
    </w:p>
    <w:p>
      <w:pPr>
        <w:spacing w:before="0" w:after="140" w:line="293" w:lineRule="auto"/>
        <w:jc w:val="both"/>
      </w:pPr>
      <w:r>
        <w:rPr>
          <w:rFonts w:ascii="Aptos" w:hAnsi="Aptos" w:cs="Aptos" w:eastAsia="Aptos"/>
          <w:b w:val="0"/>
          <w:i w:val="0"/>
          <w:color w:val="2B2B2B"/>
          <w:sz w:val="20"/>
        </w:rPr>
        <w:t xml:space="preserve">O esclarecimento do Governo de 21 de julho de 2020 invoca, ao lado do Decreto-Lei n.º 276/2001, o artigo 4.º do Decreto-Lei n.º 116/98, de 5 de maio. A remissão não é decorativa: é aí que está a explicação institucional do sucedido, e é matéria que este estudo não tinha tratado. O diploma desenha o médico veterinário municipal com </w:t>
      </w:r>
      <w:r>
        <w:rPr>
          <w:rFonts w:ascii="Aptos" w:hAnsi="Aptos" w:cs="Aptos" w:eastAsia="Aptos"/>
          <w:b/>
          <w:i w:val="0"/>
          <w:color w:val="2B2B2B"/>
          <w:sz w:val="20"/>
        </w:rPr>
        <w:t>duas cabeças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O médico veterinário municipal é a autoridade sanitária veterinária concelhia, a nível da respectiva área geográfica de actuação, quando no exercício das atribuições que lhe estão legalmente cometidas.</w:t>
            </w:r>
          </w:p>
          <w:p>
            <w:pPr>
              <w:spacing w:before="0" w:after="80" w:line="293" w:lineRule="auto"/>
              <w:jc w:val="both"/>
            </w:pPr>
            <w:r>
              <w:rPr>
                <w:rFonts w:ascii="Aptos" w:hAnsi="Aptos" w:cs="Aptos" w:eastAsia="Aptos"/>
                <w:b w:val="0"/>
                <w:i/>
                <w:color w:val="2B2B2B"/>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before="0" w:after="0" w:line="293" w:lineRule="auto"/>
              <w:jc w:val="both"/>
            </w:pPr>
            <w:r>
              <w:rPr>
                <w:rFonts w:ascii="Aptos" w:hAnsi="Aptos" w:cs="Aptos" w:eastAsia="Aptos"/>
                <w:b w:val="0"/>
                <w:i/>
                <w:color w:val="2B2B2B"/>
                <w:sz w:val="19"/>
              </w:rPr>
              <w:t>4 — O exercício do poder de autoridade sanitária veterinária concelhia traduz-se na competência de, sem dependência hierárquica, tomar qualquer decisão, por necessidade técnica ou científica, que entenda indispensável ou relevante para a prevenção e correcção de factores ou situações susceptíveis de causarem prejuízos graves à saúde pública, bem como nas competências relativas à garantia de salubridade dos produtos de origem animal.</w:t>
            </w:r>
          </w:p>
          <w:p>
            <w:pPr>
              <w:spacing w:before="120" w:after="0" w:line="293" w:lineRule="auto"/>
            </w:pPr>
            <w:r>
              <w:rPr>
                <w:rFonts w:ascii="Aptos" w:hAnsi="Aptos" w:cs="Aptos" w:eastAsia="Aptos"/>
                <w:b w:val="0"/>
                <w:i w:val="0"/>
                <w:color w:val="7C8894"/>
                <w:sz w:val="15"/>
              </w:rPr>
              <w:t>N.ºs 2, 3 e 4 do artigo 2.º do Decreto-Lei n.º 116/98, de 5 de maio, conferido no Diário da República, I série-A, n.º 103, de 5.5.1998, p. 1990</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médicos veterinários municipais dependem, hierárquica e disciplinarmente, do presidente da câmara da respectiva área da sua intervenção.</w:t>
            </w:r>
          </w:p>
          <w:p>
            <w:pPr>
              <w:spacing w:before="120" w:after="0" w:line="293" w:lineRule="auto"/>
            </w:pPr>
            <w:r>
              <w:rPr>
                <w:rFonts w:ascii="Aptos" w:hAnsi="Aptos" w:cs="Aptos" w:eastAsia="Aptos"/>
                <w:b w:val="0"/>
                <w:i w:val="0"/>
                <w:color w:val="7C8894"/>
                <w:sz w:val="15"/>
              </w:rPr>
              <w:t>N.º 1 do artigo 4.º do Decreto-Lei n.º 116/98, no mesmo lugar</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Cotejadas, as duas normas dizem isto: nas decisões de autoridade sanitária o médico veterinário municipal decide </w:t>
      </w:r>
      <w:r>
        <w:rPr>
          <w:rFonts w:ascii="Aptos" w:hAnsi="Aptos" w:cs="Aptos" w:eastAsia="Aptos"/>
          <w:b/>
          <w:i w:val="0"/>
          <w:color w:val="2B2B2B"/>
          <w:sz w:val="20"/>
        </w:rPr>
        <w:t>sem dependência hierárquica</w:t>
      </w:r>
      <w:r>
        <w:rPr>
          <w:rFonts w:ascii="Aptos" w:hAnsi="Aptos" w:cs="Aptos" w:eastAsia="Aptos"/>
          <w:b w:val="0"/>
          <w:i w:val="0"/>
          <w:color w:val="2B2B2B"/>
          <w:sz w:val="20"/>
        </w:rPr>
        <w:t xml:space="preserve">, com poderes que lhe vêm da autoridade nacional </w:t>
      </w:r>
      <w:r>
        <w:rPr>
          <w:rFonts w:ascii="Aptos" w:hAnsi="Aptos" w:cs="Aptos" w:eastAsia="Aptos"/>
          <w:b/>
          <w:i w:val="0"/>
          <w:color w:val="2B2B2B"/>
          <w:sz w:val="20"/>
        </w:rPr>
        <w:t>a título pessoal e não delegável</w:t>
      </w:r>
      <w:r>
        <w:rPr>
          <w:rFonts w:ascii="Aptos" w:hAnsi="Aptos" w:cs="Aptos" w:eastAsia="Aptos"/>
          <w:b w:val="0"/>
          <w:i w:val="0"/>
          <w:color w:val="2B2B2B"/>
          <w:sz w:val="20"/>
        </w:rPr>
        <w:t>; em tudo o mais — carreira, avaliação, disciplina — depende do presidente da câmara. É um funcionário do município investido de um poder que o município não lhe deu e não lhe pode retirar, e que responde disciplinarmente perante quem não comanda esse poder.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Duas consequências, ambas relevantes para a questão 8:</w:t>
            </w:r>
          </w:p>
          <w:p>
            <w:pPr>
              <w:spacing w:before="0" w:after="80" w:line="293" w:lineRule="auto"/>
              <w:jc w:val="both"/>
            </w:pPr>
            <w:r>
              <w:rPr>
                <w:rFonts w:ascii="Aptos" w:hAnsi="Aptos" w:cs="Aptos" w:eastAsia="Aptos"/>
                <w:b/>
                <w:i w:val="0"/>
                <w:color w:val="2B2B2B"/>
                <w:sz w:val="20"/>
              </w:rPr>
              <w:t>Primeira — o caso é coerente com a resposta dada, não a contraria.</w:t>
            </w:r>
            <w:r>
              <w:rPr>
                <w:rFonts w:ascii="Aptos" w:hAnsi="Aptos" w:cs="Aptos" w:eastAsia="Aptos"/>
                <w:b w:val="0"/>
                <w:i w:val="0"/>
                <w:color w:val="2B2B2B"/>
                <w:sz w:val="20"/>
              </w:rPr>
              <w:t xml:space="preserve"> O poder que o n.º 4 do artigo 2.º confere ao médico veterinário municipal é um poder de decisão fundado em </w:t>
            </w:r>
            <w:r>
              <w:rPr>
                <w:rFonts w:ascii="Aptos" w:hAnsi="Aptos" w:cs="Aptos" w:eastAsia="Aptos"/>
                <w:b/>
                <w:i w:val="0"/>
                <w:color w:val="2B2B2B"/>
                <w:sz w:val="20"/>
              </w:rPr>
              <w:t>prejuízos graves à saúde pública</w:t>
            </w:r>
            <w:r>
              <w:rPr>
                <w:rFonts w:ascii="Aptos" w:hAnsi="Aptos" w:cs="Aptos" w:eastAsia="Aptos"/>
                <w:b w:val="0"/>
                <w:i w:val="0"/>
                <w:color w:val="2B2B2B"/>
                <w:sz w:val="20"/>
              </w:rPr>
              <w:t xml:space="preserve">. Animais a morrer num incêndio não são, em si, um problema de saúde pública: são um problema de bem-estar animal e de proteção civil. Se o tribunal concluiu que aquele titular não tinha poderes para ordenar a evacuação, a conclusão encaixa na arquitetura legal — e não põe em causa o n.º 5 do artigo 3.º do Decreto-Lei n.º 314/2003, que confere o poder de notificar para remoção </w:t>
            </w:r>
            <w:r>
              <w:rPr>
                <w:rFonts w:ascii="Aptos" w:hAnsi="Aptos" w:cs="Aptos" w:eastAsia="Aptos"/>
                <w:b/>
                <w:i w:val="0"/>
                <w:color w:val="2B2B2B"/>
                <w:sz w:val="20"/>
              </w:rPr>
              <w:t>à câmara municipal</w:t>
            </w:r>
            <w:r>
              <w:rPr>
                <w:rFonts w:ascii="Aptos" w:hAnsi="Aptos" w:cs="Aptos" w:eastAsia="Aptos"/>
                <w:b w:val="0"/>
                <w:i w:val="0"/>
                <w:color w:val="2B2B2B"/>
                <w:sz w:val="20"/>
              </w:rPr>
              <w:t>, órgão colegial, depois de vistoria conjunta, e por fundamento de salubridade. O veterinário municipal integra a vistoria; não é ele que notifica.</w:t>
            </w:r>
          </w:p>
          <w:p>
            <w:pPr>
              <w:spacing w:before="0" w:after="80" w:line="293" w:lineRule="auto"/>
              <w:jc w:val="both"/>
            </w:pPr>
            <w:r>
              <w:rPr>
                <w:rFonts w:ascii="Aptos" w:hAnsi="Aptos" w:cs="Aptos" w:eastAsia="Aptos"/>
                <w:b/>
                <w:i w:val="0"/>
                <w:color w:val="2B2B2B"/>
                <w:sz w:val="20"/>
              </w:rPr>
              <w:t>Segunda — está aqui a explicação da inércia, e é estrutural.</w:t>
            </w:r>
            <w:r>
              <w:rPr>
                <w:rFonts w:ascii="Aptos" w:hAnsi="Aptos" w:cs="Aptos" w:eastAsia="Aptos"/>
                <w:b w:val="0"/>
                <w:i w:val="0"/>
                <w:color w:val="2B2B2B"/>
                <w:sz w:val="20"/>
              </w:rPr>
              <w:t xml:space="preserve"> Quem tem de propor a medida impopular depende disciplinarmente de quem a suportaria politicamente. A lei quis blindar essa posição com a fórmula «sem dependência hierárquica», mas blindou-a apenas no perímetro da saúde pública e deixou intacta a dependência quanto a tudo o resto. Nos abrigos sem registo, onde o fundamento próprio é o bem-estar animal e não a saúde pública, a blindagem não cobre o ato.</w:t>
            </w:r>
          </w:p>
          <w:p>
            <w:pPr>
              <w:spacing w:before="0" w:after="0" w:line="293" w:lineRule="auto"/>
              <w:jc w:val="both"/>
            </w:pPr>
            <w:r>
              <w:rPr>
                <w:rFonts w:ascii="Aptos" w:hAnsi="Aptos" w:cs="Aptos" w:eastAsia="Aptos"/>
                <w:b/>
                <w:i w:val="0"/>
                <w:color w:val="2B2B2B"/>
                <w:sz w:val="20"/>
              </w:rPr>
              <w:t>E o caso ilustrou a assimetria em dois dias.</w:t>
            </w:r>
            <w:r>
              <w:rPr>
                <w:rFonts w:ascii="Aptos" w:hAnsi="Aptos" w:cs="Aptos" w:eastAsia="Aptos"/>
                <w:b w:val="0"/>
                <w:i w:val="0"/>
                <w:color w:val="2B2B2B"/>
                <w:sz w:val="20"/>
              </w:rPr>
              <w:t xml:space="preserve"> A 20 de julho de 2020 a câmara </w:t>
            </w:r>
            <w:r>
              <w:rPr>
                <w:rFonts w:ascii="Aptos" w:hAnsi="Aptos" w:cs="Aptos" w:eastAsia="Aptos"/>
                <w:b/>
                <w:i w:val="0"/>
                <w:color w:val="2B2B2B"/>
                <w:sz w:val="20"/>
              </w:rPr>
              <w:t>suspendeu o médico veterinário municipal</w:t>
            </w:r>
            <w:r>
              <w:rPr>
                <w:rFonts w:ascii="Aptos" w:hAnsi="Aptos" w:cs="Aptos" w:eastAsia="Aptos"/>
                <w:b w:val="0"/>
                <w:i w:val="0"/>
                <w:color w:val="2B2B2B"/>
                <w:sz w:val="20"/>
              </w:rPr>
              <w:t>. Podia fazê-lo, e sem discutir o mérito técnico de coisa alguma: é o n.º 1 do artigo 4.º a funcionar. O que a câmara não podia era dar-lhe ordem sobre uma decisão de autoridade sanitária, porque esse poder não lhe pertence — n.ºs 2 e 3 do artigo 2.º. Pode sancionar o titular; não pode comandar o poder. A lei separou as duas coisas no papel e reuniu-as na mesma relação de trabalho.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Não se leu a decisão. O que antecede resulta de notícias sobre a leitura oral do acórdão, e trata-se de absolvição em primeira instância, suscetível de recurso. </w:t>
            </w:r>
            <w:r>
              <w:rPr>
                <w:rFonts w:ascii="Aptos" w:hAnsi="Aptos" w:cs="Aptos" w:eastAsia="Aptos"/>
                <w:b/>
                <w:i w:val="0"/>
                <w:color w:val="2B2B2B"/>
                <w:sz w:val="19"/>
              </w:rPr>
              <w:t>Obter o texto da decisão é a diligência mais útil que este estudo tem pendente</w:t>
            </w:r>
            <w:r>
              <w:rPr>
                <w:rFonts w:ascii="Aptos" w:hAnsi="Aptos" w:cs="Aptos" w:eastAsia="Aptos"/>
                <w:b w:val="0"/>
                <w:i w:val="0"/>
                <w:color w:val="2B2B2B"/>
                <w:sz w:val="19"/>
              </w:rPr>
              <w:t xml:space="preserve">, e só depois dela se poderá afirmar com segurança o que o tribunal decidiu quanto a competências. Acresce que o PAN, assistente no processo, anunciou recurso: </w:t>
            </w:r>
            <w:r>
              <w:rPr>
                <w:rFonts w:ascii="Aptos" w:hAnsi="Aptos" w:cs="Aptos" w:eastAsia="Aptos"/>
                <w:b/>
                <w:i w:val="0"/>
                <w:color w:val="2B2B2B"/>
                <w:sz w:val="19"/>
              </w:rPr>
              <w:t>a decisão não transitou</w:t>
            </w:r>
            <w:r>
              <w:rPr>
                <w:rFonts w:ascii="Aptos" w:hAnsi="Aptos" w:cs="Aptos" w:eastAsia="Aptos"/>
                <w:b w:val="0"/>
                <w:i w:val="0"/>
                <w:color w:val="2B2B2B"/>
                <w:sz w:val="19"/>
              </w:rPr>
              <w:t xml:space="preserve"> e não pode ser invocada como afirmação estabilizada sobre competências municipais. Em julgamento, o próprio Ministério Público declarou não ver prova de crime — o que sugere uma absolvição decidida em matéria de facto e de imputação subjetiva, e não uma declaração de incompetência legal dos municípios; mas isto é hipótese até se ler o acórdão.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caso ilustra o custo da tese contrária tanto quanto o da tese aqui sustentada: se a câmara entende não ter poderes e a DGAV depende da câmara para executar, o sistema não protege ninguém. É argumento de política legislativa, não de interpretação — mas é o argumento mais forte a favor de uma revisão que atribua expressamente a competência e os meios.</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alteração de 2020: um poder novo, que o caso não conheceu</w:t>
      </w:r>
    </w:p>
    <w:p>
      <w:pPr>
        <w:spacing w:before="0" w:after="140" w:line="293" w:lineRule="auto"/>
        <w:jc w:val="both"/>
      </w:pPr>
      <w:r>
        <w:rPr>
          <w:rFonts w:ascii="Aptos" w:hAnsi="Aptos" w:cs="Aptos" w:eastAsia="Aptos"/>
          <w:b w:val="0"/>
          <w:i w:val="0"/>
          <w:color w:val="2B2B2B"/>
          <w:sz w:val="20"/>
        </w:rPr>
        <w:t>A Lei n.º 39/2020, de 18 de agosto, que «altera o regime sancionatório aplicável aos crimes contra animais de companhia, procedendo à quinquagésima alteração ao Código Penal, à trigésima sétima alteração ao Código de Processo Penal e à terceira alteração à Lei n.º 92/95, de 12 de setembro», aditou àquela lei um artigo que interessa diretamente a esta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before="0" w:after="0" w:line="293" w:lineRule="auto"/>
              <w:jc w:val="both"/>
            </w:pPr>
            <w:r>
              <w:rPr>
                <w:rFonts w:ascii="Aptos" w:hAnsi="Aptos" w:cs="Aptos" w:eastAsia="Aptos"/>
                <w:b w:val="0"/>
                <w:i/>
                <w:color w:val="2B2B2B"/>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120" w:after="0" w:line="293" w:lineRule="auto"/>
            </w:pPr>
            <w:r>
              <w:rPr>
                <w:rFonts w:ascii="Aptos" w:hAnsi="Aptos" w:cs="Aptos" w:eastAsia="Aptos"/>
                <w:b w:val="0"/>
                <w:i w:val="0"/>
                <w:color w:val="7C8894"/>
                <w:sz w:val="15"/>
              </w:rPr>
              <w:t>Artigo 1.º-A da Lei n.º 92/95, aditado pela Lei n.º 39/2020, conferido no Diário da República, 1.ª série, n.º 160, de 18 de agosto de 2020, a páginas 11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É um poder </w:t>
            </w:r>
            <w:r>
              <w:rPr>
                <w:rFonts w:ascii="Aptos" w:hAnsi="Aptos" w:cs="Aptos" w:eastAsia="Aptos"/>
                <w:b/>
                <w:i w:val="0"/>
                <w:color w:val="2B2B2B"/>
                <w:sz w:val="20"/>
              </w:rPr>
              <w:t>autónomo</w:t>
            </w:r>
            <w:r>
              <w:rPr>
                <w:rFonts w:ascii="Aptos" w:hAnsi="Aptos" w:cs="Aptos" w:eastAsia="Aptos"/>
                <w:b w:val="0"/>
                <w:i w:val="0"/>
                <w:color w:val="2B2B2B"/>
                <w:sz w:val="20"/>
              </w:rPr>
              <w:t xml:space="preserve"> de recolha ou captura, atribuído expressamente aos municípios, e formulado como </w:t>
            </w:r>
            <w:r>
              <w:rPr>
                <w:rFonts w:ascii="Aptos" w:hAnsi="Aptos" w:cs="Aptos" w:eastAsia="Aptos"/>
                <w:b/>
                <w:i w:val="0"/>
                <w:color w:val="2B2B2B"/>
                <w:sz w:val="20"/>
              </w:rPr>
              <w:t>dever</w:t>
            </w:r>
            <w:r>
              <w:rPr>
                <w:rFonts w:ascii="Aptos" w:hAnsi="Aptos" w:cs="Aptos" w:eastAsia="Aptos"/>
                <w:b w:val="0"/>
                <w:i w:val="0"/>
                <w:color w:val="2B2B2B"/>
                <w:sz w:val="20"/>
              </w:rPr>
              <w:t xml:space="preserve"> — «devem desencadear os meios». Não depende de fogo, de habitação, de registo do alojamento, nem do artigo 3.º do Decreto-Lei n.º 314/2003. O seu pressuposto é outro: a evidência de sinais da prática de crimes de maus-tratos.</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Fecha parte da lacuna do ponto 15.7</w:t>
      </w:r>
      <w:r>
        <w:rPr>
          <w:rFonts w:ascii="Aptos" w:hAnsi="Aptos" w:cs="Aptos" w:eastAsia="Aptos"/>
          <w:b w:val="0"/>
          <w:i w:val="0"/>
          <w:color w:val="2B2B2B"/>
          <w:sz w:val="20"/>
        </w:rPr>
        <w:t>, mas só parte: cobre o maus-tratos, não o mero excesso numérico nem a insalubridade que não chegue a ilícito criminal.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Confirma a linha do argumento do silêncio qualificado.</w:t>
      </w:r>
      <w:r>
        <w:rPr>
          <w:rFonts w:ascii="Aptos" w:hAnsi="Aptos" w:cs="Aptos" w:eastAsia="Aptos"/>
          <w:b w:val="0"/>
          <w:i w:val="0"/>
          <w:color w:val="2B2B2B"/>
          <w:sz w:val="20"/>
        </w:rPr>
        <w:t xml:space="preserve"> Quando o legislador quis atribuir aos municípios um poder de retirar animais, atribuiu-o expressamente, em norma própria e com o verbo no imperativo.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Uma assimetria a registar.</w:t>
      </w:r>
      <w:r>
        <w:rPr>
          <w:rFonts w:ascii="Aptos" w:hAnsi="Aptos" w:cs="Aptos" w:eastAsia="Aptos"/>
          <w:b w:val="0"/>
          <w:i w:val="0"/>
          <w:color w:val="2B2B2B"/>
          <w:sz w:val="20"/>
        </w:rPr>
        <w:t xml:space="preserve"> O mandado judicial do n.º 2 assegura o acesso «das forças de segurança ou órgãos de polícia criminal» — não dos municípios. O município que veja o acesso recusado não tem, por esta via, mandado próprio; terá de recorrer ao n.º 2 do artigo 67.º-A do Decreto-Lei n.º 276/2001, que o admite para as autoridades competentes, entre as quais figura, nos termos da al. x) do n.º 1 do artigo 2.º.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para a leitura do caso de Santo Tirso.</w:t>
            </w:r>
            <w:r>
              <w:rPr>
                <w:rFonts w:ascii="Aptos" w:hAnsi="Aptos" w:cs="Aptos" w:eastAsia="Aptos"/>
                <w:b w:val="0"/>
                <w:i w:val="0"/>
                <w:color w:val="2B2B2B"/>
                <w:sz w:val="19"/>
              </w:rPr>
              <w:t xml:space="preserve"> A Lei n.º 39/2020 foi aprovada em 23 de julho de 2020 e entrou em vigor, nos termos do seu artigo 6.º, «no primeiro dia do segundo mês seguinte ao da sua publicação» — </w:t>
            </w:r>
            <w:r>
              <w:rPr>
                <w:rFonts w:ascii="Aptos" w:hAnsi="Aptos" w:cs="Aptos" w:eastAsia="Aptos"/>
                <w:b/>
                <w:i w:val="0"/>
                <w:color w:val="2B2B2B"/>
                <w:sz w:val="19"/>
              </w:rPr>
              <w:t>1 de outubro de 2020</w:t>
            </w:r>
            <w:r>
              <w:rPr>
                <w:rFonts w:ascii="Aptos" w:hAnsi="Aptos" w:cs="Aptos" w:eastAsia="Aptos"/>
                <w:b w:val="0"/>
                <w:i w:val="0"/>
                <w:color w:val="2B2B2B"/>
                <w:sz w:val="19"/>
              </w:rPr>
              <w:t xml:space="preserve">. O incêndio ocorreu em 18 de julho de 2020. </w:t>
            </w:r>
            <w:r>
              <w:rPr>
                <w:rFonts w:ascii="Aptos" w:hAnsi="Aptos" w:cs="Aptos" w:eastAsia="Aptos"/>
                <w:b/>
                <w:i w:val="0"/>
                <w:color w:val="2B2B2B"/>
                <w:sz w:val="19"/>
              </w:rPr>
              <w:t>O poder do artigo 1.º-A não existia à data dos factos.</w:t>
            </w:r>
            <w:r>
              <w:rPr>
                <w:rFonts w:ascii="Aptos" w:hAnsi="Aptos" w:cs="Aptos" w:eastAsia="Aptos"/>
                <w:b w:val="0"/>
                <w:i w:val="0"/>
                <w:color w:val="2B2B2B"/>
                <w:sz w:val="19"/>
              </w:rPr>
              <w:t xml:space="preserve"> A absolvição não pode, por isso, ser lida como afirmando que os municípios carecem hoje de poderes de recolha. A proximidade de datas entre o incêndio e a aprovação é cronológica; o processo legislativo precedeu-o, e não se verificou se o caso influenciou o debate final.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 e doutrina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Segue-se o único estudo doutrinal que trata o artigo 3.º na perspetiva de quem o aplica, e o resultado da pesquisa exaustiva.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Há quem sustente que os limites do artigo 3.º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Doutrina — a análise contraordenacional de 2019</w:t>
      </w:r>
    </w:p>
    <w:p>
      <w:pPr>
        <w:spacing w:before="0" w:after="140" w:line="293" w:lineRule="auto"/>
        <w:jc w:val="both"/>
      </w:pPr>
      <w:r>
        <w:rPr>
          <w:rFonts w:ascii="Aptos" w:hAnsi="Aptos" w:cs="Aptos" w:eastAsia="Aptos"/>
          <w:b w:val="0"/>
          <w:i w:val="0"/>
          <w:color w:val="2B2B2B"/>
          <w:sz w:val="20"/>
        </w:rPr>
        <w:t>Localizou-se, e leu-se integralmente, o único estudo doutrinal que trata o artigo 3.º do ponto de vista de quem o aplica no terreno: Bruno Filipe Salvador da Silva Branco, «A detenção de animais de companhia — uma análise do ponto de vista contraordenacional», Revista Jurídica Luso-Brasileira, Ano 5 (2019), n.º 2, pp. 229-260. O autor é subcomissário da Polícia de Segurança Pública e pós-graduado em Direito dos Animais pelo CIDP da Faculdade de Direito de Lisboa. O interesse do texto não está em teses de autor, está em ser um levantamento sistemático do regime feito na perspetiva da fiscalização — e em confirmar, ponto por ponto, as leituras aqui sustentadas.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epígrafe com que arruma o artigo 3.º é «Limite de cães e gatos por habitação»</w:t>
      </w:r>
      <w:r>
        <w:rPr>
          <w:rFonts w:ascii="Aptos" w:hAnsi="Aptos" w:cs="Aptos" w:eastAsia="Aptos"/>
          <w:b w:val="0"/>
          <w:i w:val="0"/>
          <w:color w:val="2B2B2B"/>
          <w:sz w:val="20"/>
        </w:rPr>
        <w:t xml:space="preserve"> (p. 240). Não «por prédio», não «por alojamento», não «por estabelecimento»: por habitação. E ao tratar o n.º 4 escreve «Caso a </w:t>
      </w:r>
      <w:r>
        <w:rPr>
          <w:rFonts w:ascii="Aptos" w:hAnsi="Aptos" w:cs="Aptos" w:eastAsia="Aptos"/>
          <w:b/>
          <w:i w:val="0"/>
          <w:color w:val="2B2B2B"/>
          <w:sz w:val="20"/>
        </w:rPr>
        <w:t>habitação</w:t>
      </w:r>
      <w:r>
        <w:rPr>
          <w:rFonts w:ascii="Aptos" w:hAnsi="Aptos" w:cs="Aptos" w:eastAsia="Aptos"/>
          <w:b w:val="0"/>
          <w:i w:val="0"/>
          <w:color w:val="2B2B2B"/>
          <w:sz w:val="20"/>
        </w:rPr>
        <w:t xml:space="preserve"> seja considerada prédio rústico ou misto, podem ser alojados até seis animais adultos» (p. 241) — isto é, também aí o referente é a habitação, e a classificação predial é apenas o seu atributo. É exatamente a leitura do capítulo 5 e do ponto 15.2.</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Arruma o artigo 3.º entre as medidas de profilaxia da raiva</w:t>
      </w:r>
      <w:r>
        <w:rPr>
          <w:rFonts w:ascii="Aptos" w:hAnsi="Aptos" w:cs="Aptos" w:eastAsia="Aptos"/>
          <w:b w:val="0"/>
          <w:i w:val="0"/>
          <w:color w:val="2B2B2B"/>
          <w:sz w:val="20"/>
        </w:rPr>
        <w:t>, ao lado da vacinação antirrábica obrigatória e das regras de circulação na via pública (pp. 239-242). A sistemática do autor é a do ponto 7.1: o artigo 3.º é polícia sanitária, não direito do licenciamento.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Descreve a contraordenação da al. c) do n.º 3 do artigo 14.º como «Exceder o n.º de animais por fogo urbano (3 cães ou quatro gatos, num máximo de 4 animais)»</w:t>
      </w:r>
      <w:r>
        <w:rPr>
          <w:rFonts w:ascii="Aptos" w:hAnsi="Aptos" w:cs="Aptos" w:eastAsia="Aptos"/>
          <w:b w:val="0"/>
          <w:i w:val="0"/>
          <w:color w:val="2B2B2B"/>
          <w:sz w:val="20"/>
        </w:rPr>
        <w:t xml:space="preserve">, no quadro-resumo das principais ocorrências contraordenacionais (p. 254). O enunciado é o do ponto 9.3: a norma sancionatória tipifica o excesso </w:t>
      </w:r>
      <w:r>
        <w:rPr>
          <w:rFonts w:ascii="Aptos" w:hAnsi="Aptos" w:cs="Aptos" w:eastAsia="Aptos"/>
          <w:b/>
          <w:i w:val="0"/>
          <w:color w:val="2B2B2B"/>
          <w:sz w:val="20"/>
        </w:rPr>
        <w:t>por fogo</w:t>
      </w:r>
      <w:r>
        <w:rPr>
          <w:rFonts w:ascii="Aptos" w:hAnsi="Aptos" w:cs="Aptos" w:eastAsia="Aptos"/>
          <w:b w:val="0"/>
          <w:i w:val="0"/>
          <w:color w:val="2B2B2B"/>
          <w:sz w:val="20"/>
        </w:rPr>
        <w:t>, e não a lotação de um estabelecimento.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Indica a DGAV como entidade instrutória dessa contraordenação</w:t>
      </w:r>
      <w:r>
        <w:rPr>
          <w:rFonts w:ascii="Aptos" w:hAnsi="Aptos" w:cs="Aptos" w:eastAsia="Aptos"/>
          <w:b w:val="0"/>
          <w:i w:val="0"/>
          <w:color w:val="2B2B2B"/>
          <w:sz w:val="20"/>
        </w:rPr>
        <w:t xml:space="preserve"> (mesmo quadro), e no corpo do texto escreve que «O incumprimento das regras do artigo 3.º do PNLVERAZ constituem contraordenação, punível pelo diretor-geral da DGAV, pelo artigo 14.º, n.º 3, al. c)» (p. 241). Confirma a dissociação apurada no ponto 9.3 e no ponto 9.5: </w:t>
      </w:r>
      <w:r>
        <w:rPr>
          <w:rFonts w:ascii="Aptos" w:hAnsi="Aptos" w:cs="Aptos" w:eastAsia="Aptos"/>
          <w:b/>
          <w:i w:val="0"/>
          <w:color w:val="2B2B2B"/>
          <w:sz w:val="20"/>
        </w:rPr>
        <w:t>quem instrui e pune é a DGAV; quem notifica para remover é a câmara</w:t>
      </w:r>
      <w:r>
        <w:rPr>
          <w:rFonts w:ascii="Aptos" w:hAnsi="Aptos" w:cs="Aptos" w:eastAsia="Aptos"/>
          <w:b w:val="0"/>
          <w:i w:val="0"/>
          <w:color w:val="2B2B2B"/>
          <w:sz w:val="20"/>
        </w:rPr>
        <w:t>.</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i w:val="0"/>
          <w:color w:val="2B2B2B"/>
          <w:sz w:val="20"/>
        </w:rPr>
        <w:t>Confirma o percurso do poder de remoção tal como aqui se descreve</w:t>
      </w:r>
      <w:r>
        <w:rPr>
          <w:rFonts w:ascii="Aptos" w:hAnsi="Aptos" w:cs="Aptos" w:eastAsia="Aptos"/>
          <w:b w:val="0"/>
          <w:i w:val="0"/>
          <w:color w:val="2B2B2B"/>
          <w:sz w:val="20"/>
        </w:rPr>
        <w:t xml:space="preserve">: «Em situações de incumprimento, e após notificação do proprietário para regularização da situação, podem as Câmaras Municipais solicitar mandado judicial que lhes permita o acesso ao local onde se encontram os animais em excesso e proceder á sua remoção» (p. 241). É doutrina — de fonte policial — a afirmar que </w:t>
      </w:r>
      <w:r>
        <w:rPr>
          <w:rFonts w:ascii="Aptos" w:hAnsi="Aptos" w:cs="Aptos" w:eastAsia="Aptos"/>
          <w:b/>
          <w:i w:val="0"/>
          <w:color w:val="2B2B2B"/>
          <w:sz w:val="20"/>
        </w:rPr>
        <w:t>a remoção é operação municipal</w:t>
      </w:r>
      <w:r>
        <w:rPr>
          <w:rFonts w:ascii="Aptos" w:hAnsi="Aptos" w:cs="Aptos" w:eastAsia="Aptos"/>
          <w:b w:val="0"/>
          <w:i w:val="0"/>
          <w:color w:val="2B2B2B"/>
          <w:sz w:val="20"/>
        </w:rPr>
        <w:t>. Vale para a questão 8 e para a leitura do caso de Santo Tirso.</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i w:val="0"/>
          <w:color w:val="2B2B2B"/>
          <w:sz w:val="20"/>
        </w:rPr>
        <w:t>O seu quadro-resumo das contraordenações do Decreto-Lei n.º 276/2001 não contém uma única entrada relativa a excesso de animais em alojamento</w:t>
      </w:r>
      <w:r>
        <w:rPr>
          <w:rFonts w:ascii="Aptos" w:hAnsi="Aptos" w:cs="Aptos" w:eastAsia="Aptos"/>
          <w:b w:val="0"/>
          <w:i w:val="0"/>
          <w:color w:val="2B2B2B"/>
          <w:sz w:val="20"/>
        </w:rPr>
        <w:t xml:space="preserve"> (pp. 254-255). Enumera venda ambulante, violação do dever de cuidado com perigo para pessoas e para animais, abandono, seguro de responsabilidade civil. Nenhuma lotação. É a confirmação, por quem fez o levantamento exaustivo para uso operacional, do resultado negativo apurado no ponto 9.3: </w:t>
      </w:r>
      <w:r>
        <w:rPr>
          <w:rFonts w:ascii="Aptos" w:hAnsi="Aptos" w:cs="Aptos" w:eastAsia="Aptos"/>
          <w:b/>
          <w:i w:val="0"/>
          <w:color w:val="2B2B2B"/>
          <w:sz w:val="20"/>
        </w:rPr>
        <w:t>no regime dos alojamentos não existe norma sancionatória ancorada num número</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valor deste estudo para a questão em análise é duplo, e nenhuma das duas faces é a de autoridade doutrinal em sentido forte. Primeiro, </w:t>
            </w:r>
            <w:r>
              <w:rPr>
                <w:rFonts w:ascii="Aptos" w:hAnsi="Aptos" w:cs="Aptos" w:eastAsia="Aptos"/>
                <w:b/>
                <w:i w:val="0"/>
                <w:color w:val="2B2B2B"/>
                <w:sz w:val="20"/>
              </w:rPr>
              <w:t>é a única fonte que arruma os dois diplomas lado a lado para fins de fiscalização</w:t>
            </w:r>
            <w:r>
              <w:rPr>
                <w:rFonts w:ascii="Aptos" w:hAnsi="Aptos" w:cs="Aptos" w:eastAsia="Aptos"/>
                <w:b w:val="0"/>
                <w:i w:val="0"/>
                <w:color w:val="2B2B2B"/>
                <w:sz w:val="20"/>
              </w:rPr>
              <w:t xml:space="preserve"> e, fazendo-o, nunca cruza os planos: o artigo 3.º aparece como limite da habitação, o Decreto-Lei n.º 276/2001 como regime da atividade. Segundo, </w:t>
            </w:r>
            <w:r>
              <w:rPr>
                <w:rFonts w:ascii="Aptos" w:hAnsi="Aptos" w:cs="Aptos" w:eastAsia="Aptos"/>
                <w:b/>
                <w:i w:val="0"/>
                <w:color w:val="2B2B2B"/>
                <w:sz w:val="20"/>
              </w:rPr>
              <w:t>é um levantamento feito para ser usado</w:t>
            </w:r>
            <w:r>
              <w:rPr>
                <w:rFonts w:ascii="Aptos" w:hAnsi="Aptos" w:cs="Aptos" w:eastAsia="Aptos"/>
                <w:b w:val="0"/>
                <w:i w:val="0"/>
                <w:color w:val="2B2B2B"/>
                <w:sz w:val="20"/>
              </w:rPr>
              <w:t>, por quem levanta autos — e a ausência de qualquer entrada sobre lotação de alojamento não é omissão de escrita, é reflexo de não haver o que levantar.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autor não se pronuncia sobre a questão deste estudo — não pergunta se o artigo 3.º limita a capacidade de um alojamento registado. A confirmação que dele se retira é indireta, e é por isso que vale: as suas categorias foram construídas sem o problema em vista, e organizaram-se, ainda assim, exatamente segundo a separação aqui defendida. Uma classificação que não foi feita para provar nada é melhor indício do sentido corrente das normas do que uma tese que as discuta.</w:t>
            </w:r>
          </w:p>
          <w:p>
            <w:pPr>
              <w:spacing w:before="0" w:after="0" w:line="293" w:lineRule="auto"/>
              <w:jc w:val="both"/>
            </w:pPr>
            <w:r>
              <w:rPr>
                <w:rFonts w:ascii="Aptos" w:hAnsi="Aptos" w:cs="Aptos" w:eastAsia="Aptos"/>
                <w:b w:val="0"/>
                <w:i w:val="0"/>
                <w:color w:val="2B2B2B"/>
                <w:sz w:val="19"/>
              </w:rPr>
              <w:t>Registe-se também o que o autor propõe de iure condendo, por coincidir com o ponto 9.5: sustenta que «urge a necessidade do poder político intervir nesta matéria através da criação legislativa dum verdadeiro "Estatuto do Animal", que congregue num único diploma toda panóplia de diplomas legais, de forma clara, estruturada, simples e intuitiva, dirimindo as incoerências e inexactidões existentes actualmente» (p. 256).</w:t>
            </w:r>
          </w:p>
        </w:tc>
      </w:tr>
    </w:tbl>
    <w:p>
      <w:pPr>
        <w:spacing w:before="0" w:after="180" w:line="293" w:lineRule="auto"/>
      </w:pPr>
    </w:p>
    <w:p>
      <w:pPr>
        <w:keepNext/>
        <w:spacing w:before="200" w:after="60" w:line="293" w:lineRule="auto"/>
      </w:pPr>
      <w:r>
        <w:rPr>
          <w:rFonts w:ascii="Aptos" w:hAnsi="Aptos" w:cs="Aptos" w:eastAsia="Aptos"/>
          <w:b/>
          <w:i w:val="0"/>
          <w:color w:val="5C7891"/>
          <w:sz w:val="19"/>
        </w:rPr>
        <w:t>11.5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 O mesmo sucede no estudo contraordenacional de 2019 tratado em 11.4, que transcreve em nota a al. q) do n.º 1 do artigo 2.º — a definição vizinha — e passa ao lado da al. p). </w:t>
            </w:r>
            <w:r>
              <w:rPr>
                <w:rFonts w:ascii="Aptos" w:hAnsi="Aptos" w:cs="Aptos" w:eastAsia="Aptos"/>
                <w:b/>
                <w:i w:val="0"/>
                <w:color w:val="2B2B2B"/>
                <w:sz w:val="19"/>
              </w:rPr>
              <w:t>Duas revisões sistemáticas do regime, feitas por profissionais que o aplicam, e nenhuma dá pela ressalva.</w:t>
            </w:r>
            <w:r>
              <w:rPr>
                <w:rFonts w:ascii="Aptos" w:hAnsi="Aptos" w:cs="Aptos" w:eastAsia="Aptos"/>
                <w:b w:val="0"/>
                <w:i w:val="0"/>
                <w:color w:val="2B2B2B"/>
                <w:sz w:val="19"/>
              </w:rPr>
              <w:t xml:space="preserve"> É indício do seu alcance real.</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de recolha ou captura, havendo evidência de sinais de crimes de maus-tratos</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1.º-A da Lei n.º 92/95, aditado pela Lei n.º 39/2020</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autónomo dos municípios, desde 1.10.2020 — ver ponto 9.5</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Não se obteve o texto do acórdão do Tribunal de Matosinhos de 9 de setembro de 2026, sobre os abrigos de Santo Tirso, usado no ponto 9.5 a partir de notícias. É a diligência pendente mais útil, e condiciona o que sobre ele se pode afirmar. Acresce que o PAN anunciou recurso: </w:t>
      </w:r>
      <w:r>
        <w:rPr>
          <w:rFonts w:ascii="Aptos" w:hAnsi="Aptos" w:cs="Aptos" w:eastAsia="Aptos"/>
          <w:b/>
          <w:i w:val="0"/>
          <w:color w:val="2B2B2B"/>
          <w:sz w:val="20"/>
        </w:rPr>
        <w:t>a decisão não transitou</w:t>
      </w:r>
      <w:r>
        <w:rPr>
          <w:rFonts w:ascii="Aptos" w:hAnsi="Aptos" w:cs="Aptos" w:eastAsia="Aptos"/>
          <w:b w:val="0"/>
          <w:i w:val="0"/>
          <w:color w:val="2B2B2B"/>
          <w:sz w:val="20"/>
        </w:rPr>
        <w:t>, e o que dela se escreva é provisório por duas razões — não se leu, e pode ser revogada.</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Não se obtiveram dois documentos administrativos do caso de Santo Tirso: o </w:t>
      </w:r>
      <w:r>
        <w:rPr>
          <w:rFonts w:ascii="Aptos" w:hAnsi="Aptos" w:cs="Aptos" w:eastAsia="Aptos"/>
          <w:b/>
          <w:i w:val="0"/>
          <w:color w:val="2B2B2B"/>
          <w:sz w:val="20"/>
        </w:rPr>
        <w:t>parecer jurídico de 2018</w:t>
      </w:r>
      <w:r>
        <w:rPr>
          <w:rFonts w:ascii="Aptos" w:hAnsi="Aptos" w:cs="Aptos" w:eastAsia="Aptos"/>
          <w:b w:val="0"/>
          <w:i w:val="0"/>
          <w:color w:val="2B2B2B"/>
          <w:sz w:val="20"/>
        </w:rPr>
        <w:t xml:space="preserve"> obtido pela câmara e o </w:t>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A falta perdeu, entretanto, parte da sua gravidade: localizado o artigo 3.º-G, o conteúdo provável do despacho de 2012 deixa de ser conjetura e passa a ser a aplicação de uma norma conhecida (ver 9.5). Procuraram-se; nenhum dos dois é ato sujeito a publicação no Diário da República e a pesquisa não os localizou em fonte primária. Conhecem-se por referência na imprensa, que </w:t>
      </w:r>
      <w:r>
        <w:rPr>
          <w:rFonts w:ascii="Aptos" w:hAnsi="Aptos" w:cs="Aptos" w:eastAsia="Aptos"/>
          <w:b/>
          <w:i w:val="0"/>
          <w:color w:val="2B2B2B"/>
          <w:sz w:val="20"/>
        </w:rPr>
        <w:t>divergem quanto ao conteúdo do despacho de 2012</w:t>
      </w:r>
      <w:r>
        <w:rPr>
          <w:rFonts w:ascii="Aptos" w:hAnsi="Aptos" w:cs="Aptos" w:eastAsia="Aptos"/>
          <w:b w:val="0"/>
          <w:i w:val="0"/>
          <w:color w:val="2B2B2B"/>
          <w:sz w:val="20"/>
        </w:rPr>
        <w:t xml:space="preserve"> — remoção dos animais numa versão, encerramento noutra. Fica assinalado em 9.5, e o estudo não fixa a redação. Vias que restam, por ordem de utilidade: requerimento de acesso a documento administrativo à DGAV e à Câmara Municipal de Santo Tirso, nos termos da Lei n.º 26/2016; as atas da câmara de 2012 e de 2018; e o processo da audição parlamentar de 30 de julho de 2020, onde o assunto foi diretamente tratado.</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Consultou-se o registo oficial das </w:t>
      </w:r>
      <w:r>
        <w:rPr>
          <w:rFonts w:ascii="Aptos" w:hAnsi="Aptos" w:cs="Aptos" w:eastAsia="Aptos"/>
          <w:b/>
          <w:i w:val="0"/>
          <w:color w:val="2B2B2B"/>
          <w:sz w:val="20"/>
        </w:rPr>
        <w:t>audições parlamentares n.ºs 32-CAM-XIV e 33-CAM-XIV, de 30 de julho de 2020</w:t>
      </w:r>
      <w:r>
        <w:rPr>
          <w:rFonts w:ascii="Aptos" w:hAnsi="Aptos" w:cs="Aptos" w:eastAsia="Aptos"/>
          <w:b w:val="0"/>
          <w:i w:val="0"/>
          <w:color w:val="2B2B2B"/>
          <w:sz w:val="20"/>
        </w:rPr>
        <w:t xml:space="preserve">, e obteve-se o requerimento do PAN que fundou a primeira. As audições, porém, </w:t>
      </w:r>
      <w:r>
        <w:rPr>
          <w:rFonts w:ascii="Aptos" w:hAnsi="Aptos" w:cs="Aptos" w:eastAsia="Aptos"/>
          <w:b/>
          <w:i w:val="0"/>
          <w:color w:val="2B2B2B"/>
          <w:sz w:val="20"/>
        </w:rPr>
        <w:t>só têm gravação vídeo e não ata</w:t>
      </w:r>
      <w:r>
        <w:rPr>
          <w:rFonts w:ascii="Aptos" w:hAnsi="Aptos" w:cs="Aptos" w:eastAsia="Aptos"/>
          <w:b w:val="0"/>
          <w:i w:val="0"/>
          <w:color w:val="2B2B2B"/>
          <w:sz w:val="20"/>
        </w:rPr>
        <w:t xml:space="preserve">, pelo que o seu teor não foi transcrito. Ver e transcrever a gravação da audição do presidente da câmara é </w:t>
      </w:r>
      <w:r>
        <w:rPr>
          <w:rFonts w:ascii="Aptos" w:hAnsi="Aptos" w:cs="Aptos" w:eastAsia="Aptos"/>
          <w:b/>
          <w:i w:val="0"/>
          <w:color w:val="2B2B2B"/>
          <w:sz w:val="20"/>
        </w:rPr>
        <w:t>diligência recomendada</w:t>
      </w:r>
      <w:r>
        <w:rPr>
          <w:rFonts w:ascii="Aptos" w:hAnsi="Aptos" w:cs="Aptos" w:eastAsia="Aptos"/>
          <w:b w:val="0"/>
          <w:i w:val="0"/>
          <w:color w:val="2B2B2B"/>
          <w:sz w:val="20"/>
        </w:rPr>
        <w:t>: é a fonte primária mais acessível para as posições institucionais do caso, e é onde o documento de 2012 terá sido discutido em contraditório.</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Quanto ao artigo 3.º-G, ficam por examinar duas coisas. Primeiro, se existe </w:t>
      </w:r>
      <w:r>
        <w:rPr>
          <w:rFonts w:ascii="Aptos" w:hAnsi="Aptos" w:cs="Aptos" w:eastAsia="Aptos"/>
          <w:b/>
          <w:i w:val="0"/>
          <w:color w:val="2B2B2B"/>
          <w:sz w:val="20"/>
        </w:rPr>
        <w:t>prática decisória da DGAV</w:t>
      </w:r>
      <w:r>
        <w:rPr>
          <w:rFonts w:ascii="Aptos" w:hAnsi="Aptos" w:cs="Aptos" w:eastAsia="Aptos"/>
          <w:b w:val="0"/>
          <w:i w:val="0"/>
          <w:color w:val="2B2B2B"/>
          <w:sz w:val="20"/>
        </w:rPr>
        <w:t xml:space="preserve"> ao seu abrigo — despachos de suspensão ou de encerramento —, e se são publicitados no balcão único e no sítio da DGAV, como manda o artigo 3.º-I; havendo-os, medem a efetividade real do regime. Segundo, o que sucedeu, no plano das competências municipais, entre 30 de janeiro e 7 de agosto de 2019, e se algum município usou nesse intervalo o poder que então tinha.</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A </w:t>
      </w:r>
      <w:r>
        <w:rPr>
          <w:rFonts w:ascii="Aptos" w:hAnsi="Aptos" w:cs="Aptos" w:eastAsia="Aptos"/>
          <w:b/>
          <w:i w:val="0"/>
          <w:color w:val="2B2B2B"/>
          <w:sz w:val="20"/>
        </w:rPr>
        <w:t>doutrina em matéria de propriedade horizontal</w:t>
      </w:r>
      <w:r>
        <w:rPr>
          <w:rFonts w:ascii="Aptos" w:hAnsi="Aptos" w:cs="Aptos" w:eastAsia="Aptos"/>
          <w:b w:val="0"/>
          <w:i w:val="0"/>
          <w:color w:val="2B2B2B"/>
          <w:sz w:val="20"/>
        </w:rPr>
        <w:t xml:space="preserve"> referida em 11.3 não foi consultada em primeira mão — conhece-se pela sua refutação no acórdão do Tribunal da Relação de Guimarães. Não afeta a conclusão, porque essa posição é contrária à aqui sustentada apenas quanto ao alcance do n.º 3, e já foi rejeitada pelo tribunal.</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o n.º 21, de 30 de janeiro de 2019,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Como chegar ao PDF sem adivinhar o endereço</w:t>
      </w:r>
      <w:r>
        <w:rPr>
          <w:rFonts w:ascii="Aptos" w:hAnsi="Aptos" w:cs="Aptos" w:eastAsia="Aptos"/>
          <w:b w:val="0"/>
          <w:i w:val="0"/>
          <w:color w:val="2B2B2B"/>
          <w:sz w:val="20"/>
        </w:rPr>
        <w:t xml:space="preserve"> — a via fiável é o identificador europeu de legislação. Um endereço da forma `data.dre.pt/eli/&lt;tipo&gt;/&lt;número&gt;/&lt;ano&gt;/&lt;mês&gt;/&lt;dia&gt;/p/dre/pt/pdf` devolve diretamente o PDF do jornal oficial. Para o Decreto-Lei n.º 20/2019, de 30 de janeiro, é `data.dre.pt/eli/dec-lei/20/2019/01/30/p/dre/pt/pdf`. </w:t>
      </w:r>
      <w:r>
        <w:rPr>
          <w:rFonts w:ascii="Aptos" w:hAnsi="Aptos" w:cs="Aptos" w:eastAsia="Aptos"/>
          <w:b/>
          <w:i w:val="0"/>
          <w:color w:val="2B2B2B"/>
          <w:sz w:val="20"/>
        </w:rPr>
        <w:t>Este foi o achado metodológico mais útil do estudo</w:t>
      </w:r>
      <w:r>
        <w:rPr>
          <w:rFonts w:ascii="Aptos" w:hAnsi="Aptos" w:cs="Aptos" w:eastAsia="Aptos"/>
          <w:b w:val="0"/>
          <w:i w:val="0"/>
          <w:color w:val="2B2B2B"/>
          <w:sz w:val="20"/>
        </w:rPr>
        <w:t>: dispensa procurar o número de páginas no nome do ficheiro, que é o que faz falhar a via direta.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p>
            <w:pPr>
              <w:spacing w:before="0" w:after="0" w:line="293" w:lineRule="auto"/>
              <w:jc w:val="both"/>
            </w:pPr>
            <w:r>
              <w:rPr>
                <w:rFonts w:ascii="Aptos" w:hAnsi="Aptos" w:cs="Aptos" w:eastAsia="Aptos"/>
                <w:b w:val="0"/>
                <w:i w:val="0"/>
                <w:color w:val="2B2B2B"/>
                <w:sz w:val="20"/>
              </w:rPr>
              <w:t xml:space="preserve">E a regra não vale só contra compiladores privados. Este estudo encontrou </w:t>
            </w:r>
            <w:r>
              <w:rPr>
                <w:rFonts w:ascii="Aptos" w:hAnsi="Aptos" w:cs="Aptos" w:eastAsia="Aptos"/>
                <w:b/>
                <w:i w:val="0"/>
                <w:color w:val="2B2B2B"/>
                <w:sz w:val="20"/>
              </w:rPr>
              <w:t>um erro na consolidação oficial</w:t>
            </w:r>
            <w:r>
              <w:rPr>
                <w:rFonts w:ascii="Aptos" w:hAnsi="Aptos" w:cs="Aptos" w:eastAsia="Aptos"/>
                <w:b w:val="0"/>
                <w:i w:val="0"/>
                <w:color w:val="2B2B2B"/>
                <w:sz w:val="20"/>
              </w:rPr>
              <w:t>: a indicação de que o artigo 3.º-G do Decreto-Lei n.º 276/2001 teria sido aditado pelo Decreto-Lei n.º 265/2007, quando foi aditado pelo Decreto-Lei n.º 260/2012 — o de 2007 altera daquele diploma apenas o artigo 73.º. O texto do artigo está correto na consolidação; a proveniência não. Quem cite proveniências a partir da consolidação, sem abrir o jornal oficial, arrisca reproduzir o erro. Ver 9.5.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5 e 6 do art.º 3.º-G</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(adit. DL n.º 260/2012)</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Suspensão e encerramento de alojamentos — decisão do diretor-geral; prazo de cinco dias úteis; </w:t>
            </w:r>
            <w:r>
              <w:rPr>
                <w:rFonts w:ascii="Aptos" w:hAnsi="Aptos" w:cs="Aptos" w:eastAsia="Aptos"/>
                <w:b/>
                <w:i w:val="0"/>
                <w:color w:val="2B2B2B"/>
                <w:sz w:val="17"/>
              </w:rPr>
              <w:t>execução e recolha dos animais pelas câmaras municipais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e 6 do art.º 3.º-G</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(red. DL n.º 20/2019)</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Mesma matéria atribuída ao presidente da câmara — vigência cessada em 8.8.2019</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2, 3 e 4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Médico veterinário municipal — autoridade sanitária veterinária concelhia; poderes conferidos pela autoridade nacional a título pessoal e não delegável; decisão «sem dependência hierárquica» por prejuízos graves à saúde pública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Dependência hierárquica e disciplinar do presidente da câmara</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C  </w:t>
      </w:r>
      <w:r>
        <w:rPr>
          <w:rFonts w:ascii="Aptos" w:hAnsi="Aptos" w:cs="Aptos" w:eastAsia="Aptos"/>
          <w:b/>
          <w:i w:val="0"/>
          <w:color w:val="35506B"/>
          <w:sz w:val="27"/>
        </w:rPr>
        <w:t>Bibliografia e fontes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Registam-se todas as fontes efetivamente consultadas, e assinala-se o que delas se leu. Distingue-se o que vale como fonte de direito, o que vale como prática, e o que vale apenas como notícia.</w:t>
      </w:r>
    </w:p>
    <w:p>
      <w:pPr>
        <w:keepNext/>
        <w:spacing w:before="260" w:after="80" w:line="293" w:lineRule="auto"/>
      </w:pPr>
      <w:r>
        <w:rPr>
          <w:rFonts w:ascii="Aptos" w:hAnsi="Aptos" w:cs="Aptos" w:eastAsia="Aptos"/>
          <w:b/>
          <w:i w:val="0"/>
          <w:color w:val="7C8894"/>
          <w:sz w:val="21"/>
        </w:rPr>
        <w:t xml:space="preserve">C.1  </w:t>
      </w:r>
      <w:r>
        <w:rPr>
          <w:rFonts w:ascii="Aptos" w:hAnsi="Aptos" w:cs="Aptos" w:eastAsia="Aptos"/>
          <w:b/>
          <w:i w:val="0"/>
          <w:color w:val="35506B"/>
          <w:sz w:val="21"/>
        </w:rPr>
        <w:t>Legislação — lugar de publicação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314/2003, de 17 de dezembro</w:t>
      </w:r>
      <w:r>
        <w:rPr>
          <w:rFonts w:ascii="Aptos" w:hAnsi="Aptos" w:cs="Aptos" w:eastAsia="Aptos"/>
          <w:b w:val="0"/>
          <w:i w:val="0"/>
          <w:color w:val="2B2B2B"/>
          <w:sz w:val="20"/>
        </w:rPr>
        <w:t xml:space="preserve"> — Programa Nacional de Luta e Vigilância Epidemiológica da Raiva Animal e Outras Zoonoses. Diário da República, I série-A, n.º 290, de 17.12.2003. Texto original conferido em PDF do jornal oficial; o artigo 3.º nunca foi alterado (ver Anexo 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276/2001, de 17 de outubro</w:t>
      </w:r>
      <w:r>
        <w:rPr>
          <w:rFonts w:ascii="Aptos" w:hAnsi="Aptos" w:cs="Aptos" w:eastAsia="Aptos"/>
          <w:b w:val="0"/>
          <w:i w:val="0"/>
          <w:color w:val="2B2B2B"/>
          <w:sz w:val="20"/>
        </w:rPr>
        <w:t xml:space="preserve"> — normas legais de aplicação da Convenção Europeia para a Proteção dos Animais de Companhia. Diário da República, I série-A, n.º 241, de 17.10.2001, que publica também os anexos I a VII.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 primeira alteração ao Decreto-Lei n.º 276/2001; publicado no mesmo Diário da República que o Decreto-Lei n.º 314/2003 (n.º 290, de 17.12.2003). É o diploma que adita a ressalva da al. p) (ver capítulo 14).</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Lei n.º 92/95, de 12 de setembro</w:t>
      </w:r>
      <w:r>
        <w:rPr>
          <w:rFonts w:ascii="Aptos" w:hAnsi="Aptos" w:cs="Aptos" w:eastAsia="Aptos"/>
          <w:b w:val="0"/>
          <w:i w:val="0"/>
          <w:color w:val="2B2B2B"/>
          <w:sz w:val="20"/>
        </w:rPr>
        <w:t xml:space="preserve"> — Proteção dos Animais. Artigo 1.º-A aditado pela </w:t>
      </w:r>
      <w:r>
        <w:rPr>
          <w:rFonts w:ascii="Aptos" w:hAnsi="Aptos" w:cs="Aptos" w:eastAsia="Aptos"/>
          <w:b/>
          <w:i w:val="0"/>
          <w:color w:val="2B2B2B"/>
          <w:sz w:val="20"/>
        </w:rPr>
        <w:t>Lei n.º 39/2020, de 18 de agosto</w:t>
      </w:r>
      <w:r>
        <w:rPr>
          <w:rFonts w:ascii="Aptos" w:hAnsi="Aptos" w:cs="Aptos" w:eastAsia="Aptos"/>
          <w:b w:val="0"/>
          <w:i w:val="0"/>
          <w:color w:val="2B2B2B"/>
          <w:sz w:val="20"/>
        </w:rPr>
        <w:t>, com entrada em vigor a 1.10.2020.</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116/98, de 5 de maio</w:t>
      </w:r>
      <w:r>
        <w:rPr>
          <w:rFonts w:ascii="Aptos" w:hAnsi="Aptos" w:cs="Aptos" w:eastAsia="Aptos"/>
          <w:b w:val="0"/>
          <w:i w:val="0"/>
          <w:color w:val="2B2B2B"/>
          <w:sz w:val="20"/>
        </w:rPr>
        <w:t xml:space="preserve"> — carreira de médico veterinário municipal. Diário da República, I série-A, n.º 103, de 5.5.1998, p. 1990. Página conferida por conversão em imagem; n.ºs 2, 3 e 4 do artigo 2.º e n.º 1 do artigo 4.º citados verbatim no ponto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260/2012, de 12 de dezembro</w:t>
      </w:r>
      <w:r>
        <w:rPr>
          <w:rFonts w:ascii="Aptos" w:hAnsi="Aptos" w:cs="Aptos" w:eastAsia="Aptos"/>
          <w:b w:val="0"/>
          <w:i w:val="0"/>
          <w:color w:val="2B2B2B"/>
          <w:sz w:val="20"/>
        </w:rPr>
        <w:t xml:space="preserve"> — adita ao Decreto-Lei n.º 276/2001 os artigos 3.º-B a 3.º-J, entre eles o </w:t>
      </w:r>
      <w:r>
        <w:rPr>
          <w:rFonts w:ascii="Aptos" w:hAnsi="Aptos" w:cs="Aptos" w:eastAsia="Aptos"/>
          <w:b/>
          <w:i w:val="0"/>
          <w:color w:val="2B2B2B"/>
          <w:sz w:val="20"/>
        </w:rPr>
        <w:t>artigo 3.º-G</w:t>
      </w:r>
      <w:r>
        <w:rPr>
          <w:rFonts w:ascii="Aptos" w:hAnsi="Aptos" w:cs="Aptos" w:eastAsia="Aptos"/>
          <w:b w:val="0"/>
          <w:i w:val="0"/>
          <w:color w:val="2B2B2B"/>
          <w:sz w:val="20"/>
        </w:rPr>
        <w:t xml:space="preserve"> (suspensão e encerramento de alojamentos). Diário da República, 1.ª série, n.º 240, de 12.12.2012, pp. 6981-6982. </w:t>
      </w:r>
      <w:r>
        <w:rPr>
          <w:rFonts w:ascii="Aptos" w:hAnsi="Aptos" w:cs="Aptos" w:eastAsia="Aptos"/>
          <w:b/>
          <w:i w:val="0"/>
          <w:color w:val="2B2B2B"/>
          <w:sz w:val="20"/>
        </w:rPr>
        <w:t>Conferido no jornal oficial</w:t>
      </w:r>
      <w:r>
        <w:rPr>
          <w:rFonts w:ascii="Aptos" w:hAnsi="Aptos" w:cs="Aptos" w:eastAsia="Aptos"/>
          <w:b w:val="0"/>
          <w:i w:val="0"/>
          <w:color w:val="2B2B2B"/>
          <w:sz w:val="20"/>
        </w:rPr>
        <w:t>, contra indicação errada da consolidação oficial (ver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265/2007, de 24 de julho</w:t>
      </w:r>
      <w:r>
        <w:rPr>
          <w:rFonts w:ascii="Aptos" w:hAnsi="Aptos" w:cs="Aptos" w:eastAsia="Aptos"/>
          <w:b w:val="0"/>
          <w:i w:val="0"/>
          <w:color w:val="2B2B2B"/>
          <w:sz w:val="20"/>
        </w:rPr>
        <w:t xml:space="preserve"> — Diário da República, 1.ª série, n.º 141, de 24.7.2007. Consultado para excluir a atribuição que lhe é feita pela consolidação: do Decreto-Lei n.º 276/2001 altera apenas o artigo 73.º, pelo seu artigo 21.º.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20/2019, de 30 de janeiro</w:t>
      </w:r>
      <w:r>
        <w:rPr>
          <w:rFonts w:ascii="Aptos" w:hAnsi="Aptos" w:cs="Aptos" w:eastAsia="Aptos"/>
          <w:b w:val="0"/>
          <w:i w:val="0"/>
          <w:color w:val="2B2B2B"/>
          <w:sz w:val="20"/>
        </w:rPr>
        <w:t xml:space="preserve"> — transferência de competências para os órgãos municipais nos domínios da proteção e saúde animal e da segurança dos alimentos. Diário da República, 1.ª série, n.º 21, de 30.1.2019; o artigo 3.º-G do Decreto-Lei n.º 276/2001 na sua redação consta de p. 671. </w:t>
      </w:r>
      <w:r>
        <w:rPr>
          <w:rFonts w:ascii="Aptos" w:hAnsi="Aptos" w:cs="Aptos" w:eastAsia="Aptos"/>
          <w:b/>
          <w:i w:val="0"/>
          <w:color w:val="2B2B2B"/>
          <w:sz w:val="20"/>
        </w:rPr>
        <w:t>Vigência cessada</w:t>
      </w:r>
      <w:r>
        <w:rPr>
          <w:rFonts w:ascii="Aptos" w:hAnsi="Aptos" w:cs="Aptos" w:eastAsia="Aptos"/>
          <w:b w:val="0"/>
          <w:i w:val="0"/>
          <w:color w:val="2B2B2B"/>
          <w:sz w:val="20"/>
        </w:rPr>
        <w:t xml:space="preserve"> pela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10/2015, de 16 de janeiro</w:t>
      </w:r>
      <w:r>
        <w:rPr>
          <w:rFonts w:ascii="Aptos" w:hAnsi="Aptos" w:cs="Aptos" w:eastAsia="Aptos"/>
          <w:b w:val="0"/>
          <w:i w:val="0"/>
          <w:color w:val="2B2B2B"/>
          <w:sz w:val="20"/>
        </w:rPr>
        <w:t xml:space="preserve"> — Regime Jurídico de Acesso e Exercício de Atividades de Comércio, Serviços e Restauração.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Regulamento Geral das Edificações Urbanas</w:t>
      </w:r>
      <w:r>
        <w:rPr>
          <w:rFonts w:ascii="Aptos" w:hAnsi="Aptos" w:cs="Aptos" w:eastAsia="Aptos"/>
          <w:b w:val="0"/>
          <w:i w:val="0"/>
          <w:color w:val="2B2B2B"/>
          <w:sz w:val="20"/>
        </w:rPr>
        <w:t xml:space="preserve"> (Decreto-Lei n.º 38 382, de 7 de agosto de 1951) — artigos 66.º e 67.º, base do conceito de «fogo». Revogação suspensa pelo artigo 25.º do Decreto-Lei n.º 10/2024, na redação do </w:t>
      </w:r>
      <w:r>
        <w:rPr>
          <w:rFonts w:ascii="Aptos" w:hAnsi="Aptos" w:cs="Aptos" w:eastAsia="Aptos"/>
          <w:b/>
          <w:i w:val="0"/>
          <w:color w:val="2B2B2B"/>
          <w:sz w:val="20"/>
        </w:rPr>
        <w:t>Decreto-Lei n.º 108/2026</w:t>
      </w:r>
      <w:r>
        <w:rPr>
          <w:rFonts w:ascii="Aptos" w:hAnsi="Aptos" w:cs="Aptos" w:eastAsia="Aptos"/>
          <w:b w:val="0"/>
          <w:i w:val="0"/>
          <w:color w:val="2B2B2B"/>
          <w:sz w:val="20"/>
        </w:rPr>
        <w:t>, Diário da República n.º 104, de 29.5.2026.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555/99, de 16 de dezembro</w:t>
      </w:r>
      <w:r>
        <w:rPr>
          <w:rFonts w:ascii="Aptos" w:hAnsi="Aptos" w:cs="Aptos" w:eastAsia="Aptos"/>
          <w:b w:val="0"/>
          <w:i w:val="0"/>
          <w:color w:val="2B2B2B"/>
          <w:sz w:val="20"/>
        </w:rPr>
        <w:t xml:space="preserve"> (RJUE), na redação do Decreto-Lei n.º 108/2026 — al. a) do n.º 5 do artigo 6.º e al. c) do n.º 2 do artigo 14.º.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433/82, de 27 de outubro</w:t>
      </w:r>
      <w:r>
        <w:rPr>
          <w:rFonts w:ascii="Aptos" w:hAnsi="Aptos" w:cs="Aptos" w:eastAsia="Aptos"/>
          <w:b w:val="0"/>
          <w:i w:val="0"/>
          <w:color w:val="2B2B2B"/>
          <w:sz w:val="20"/>
        </w:rPr>
        <w:t xml:space="preserve"> (RGCO) — artigo 2.º, Diário da República de 27.10.1982, p. 3553; artigo 19.º na redação do </w:t>
      </w:r>
      <w:r>
        <w:rPr>
          <w:rFonts w:ascii="Aptos" w:hAnsi="Aptos" w:cs="Aptos" w:eastAsia="Aptos"/>
          <w:b/>
          <w:i w:val="0"/>
          <w:color w:val="2B2B2B"/>
          <w:sz w:val="20"/>
        </w:rPr>
        <w:t>Decreto-Lei n.º 244/95, de 14 de setembro</w:t>
      </w:r>
      <w:r>
        <w:rPr>
          <w:rFonts w:ascii="Aptos" w:hAnsi="Aptos" w:cs="Aptos" w:eastAsia="Aptos"/>
          <w:b w:val="0"/>
          <w:i w:val="0"/>
          <w:color w:val="2B2B2B"/>
          <w:sz w:val="20"/>
        </w:rPr>
        <w:t>, Diário da República n.º 213, de 14.9.1995, p. 5783.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Civil</w:t>
      </w:r>
      <w:r>
        <w:rPr>
          <w:rFonts w:ascii="Aptos" w:hAnsi="Aptos" w:cs="Aptos" w:eastAsia="Aptos"/>
          <w:b w:val="0"/>
          <w:i w:val="0"/>
          <w:color w:val="2B2B2B"/>
          <w:sz w:val="20"/>
        </w:rPr>
        <w:t xml:space="preserve"> — artigo 7.º, Diário do Governo n.º 274, I série, de 25.11.1966, p. 1886 (digitalização conferida por conversão em imagem); al. a) do n.º 2 do artigo 1083.º.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Constituição da República Portuguesa</w:t>
      </w:r>
      <w:r>
        <w:rPr>
          <w:rFonts w:ascii="Aptos" w:hAnsi="Aptos" w:cs="Aptos" w:eastAsia="Aptos"/>
          <w:b w:val="0"/>
          <w:i w:val="0"/>
          <w:color w:val="2B2B2B"/>
          <w:sz w:val="20"/>
        </w:rPr>
        <w:t xml:space="preserve"> — n.º 2 do artigo 112.º, conferido em edição institucional em PDF.</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do Imposto Municipal sobre Imóveis</w:t>
      </w:r>
      <w:r>
        <w:rPr>
          <w:rFonts w:ascii="Aptos" w:hAnsi="Aptos" w:cs="Aptos" w:eastAsia="Aptos"/>
          <w:b w:val="0"/>
          <w:i w:val="0"/>
          <w:color w:val="2B2B2B"/>
          <w:sz w:val="20"/>
        </w:rPr>
        <w:t xml:space="preserve"> — artigos 2.º a 6.º, classificação predial.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82/2019, de 27 de junho</w:t>
      </w:r>
      <w:r>
        <w:rPr>
          <w:rFonts w:ascii="Aptos" w:hAnsi="Aptos" w:cs="Aptos" w:eastAsia="Aptos"/>
          <w:b w:val="0"/>
          <w:i w:val="0"/>
          <w:color w:val="2B2B2B"/>
          <w:sz w:val="20"/>
        </w:rPr>
        <w:t xml:space="preserve"> (SIAC); </w:t>
      </w:r>
      <w:r>
        <w:rPr>
          <w:rFonts w:ascii="Aptos" w:hAnsi="Aptos" w:cs="Aptos" w:eastAsia="Aptos"/>
          <w:b/>
          <w:i w:val="0"/>
          <w:color w:val="2B2B2B"/>
          <w:sz w:val="20"/>
        </w:rPr>
        <w:t>Decreto-Lei n.º 313/2003, de 17 de dezembro</w:t>
      </w:r>
      <w:r>
        <w:rPr>
          <w:rFonts w:ascii="Aptos" w:hAnsi="Aptos" w:cs="Aptos" w:eastAsia="Aptos"/>
          <w:b w:val="0"/>
          <w:i w:val="0"/>
          <w:color w:val="2B2B2B"/>
          <w:sz w:val="20"/>
        </w:rPr>
        <w:t xml:space="preserve">; </w:t>
      </w:r>
      <w:r>
        <w:rPr>
          <w:rFonts w:ascii="Aptos" w:hAnsi="Aptos" w:cs="Aptos" w:eastAsia="Aptos"/>
          <w:b/>
          <w:i w:val="0"/>
          <w:color w:val="2B2B2B"/>
          <w:sz w:val="20"/>
        </w:rPr>
        <w:t>Portaria n.º 264/2013, de 16 de agosto</w:t>
      </w:r>
      <w:r>
        <w:rPr>
          <w:rFonts w:ascii="Aptos" w:hAnsi="Aptos" w:cs="Aptos" w:eastAsia="Aptos"/>
          <w:b w:val="0"/>
          <w:i w:val="0"/>
          <w:color w:val="2B2B2B"/>
          <w:sz w:val="20"/>
        </w:rPr>
        <w:t xml:space="preserve">; </w:t>
      </w:r>
      <w:r>
        <w:rPr>
          <w:rFonts w:ascii="Aptos" w:hAnsi="Aptos" w:cs="Aptos" w:eastAsia="Aptos"/>
          <w:b/>
          <w:i w:val="0"/>
          <w:color w:val="2B2B2B"/>
          <w:sz w:val="20"/>
        </w:rPr>
        <w:t>Decreto-Lei n.º 91/2001</w:t>
      </w:r>
      <w:r>
        <w:rPr>
          <w:rFonts w:ascii="Aptos" w:hAnsi="Aptos" w:cs="Aptos" w:eastAsia="Aptos"/>
          <w:b w:val="0"/>
          <w:i w:val="0"/>
          <w:color w:val="2B2B2B"/>
          <w:sz w:val="20"/>
        </w:rPr>
        <w:t xml:space="preserve"> (revogado pelo artigo 19.º do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Método.</w:t>
            </w:r>
            <w:r>
              <w:rPr>
                <w:rFonts w:ascii="Aptos" w:hAnsi="Aptos" w:cs="Aptos" w:eastAsia="Aptos"/>
                <w:b w:val="0"/>
                <w:i w:val="0"/>
                <w:color w:val="2B2B2B"/>
                <w:sz w:val="19"/>
              </w:rPr>
              <w:t xml:space="preserve"> Toda a citação legal deste estudo foi conferida contra o PDF do jornal oficial, pelo caminho descrito no ponto 18.2. Os compiladores privados serviram para localizar normas, nunca para as citar.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C.2  </w:t>
      </w:r>
      <w:r>
        <w:rPr>
          <w:rFonts w:ascii="Aptos" w:hAnsi="Aptos" w:cs="Aptos" w:eastAsia="Aptos"/>
          <w:b/>
          <w:i w:val="0"/>
          <w:color w:val="35506B"/>
          <w:sz w:val="21"/>
        </w:rPr>
        <w:t>Jurisprudência consultada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Central Administrativo Sul de 4.2.2010</w:t>
      </w:r>
      <w:r>
        <w:rPr>
          <w:rFonts w:ascii="Aptos" w:hAnsi="Aptos" w:cs="Aptos" w:eastAsia="Aptos"/>
          <w:b w:val="0"/>
          <w:i w:val="0"/>
          <w:color w:val="2B2B2B"/>
          <w:sz w:val="20"/>
        </w:rPr>
        <w:t>, processo n.º 04784/09, relator Rui Pereira — descritores «alojamento de animais» e «prédio misto». Citado em 11.1.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Lisboa de 28.6.2007</w:t>
      </w:r>
      <w:r>
        <w:rPr>
          <w:rFonts w:ascii="Aptos" w:hAnsi="Aptos" w:cs="Aptos" w:eastAsia="Aptos"/>
          <w:b w:val="0"/>
          <w:i w:val="0"/>
          <w:color w:val="2B2B2B"/>
          <w:sz w:val="20"/>
        </w:rPr>
        <w:t>, processo n.º 1692/2007-8, relator Salazar Casanova. Citado em 11.2.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Guimarães de 19.5.2022</w:t>
      </w:r>
      <w:r>
        <w:rPr>
          <w:rFonts w:ascii="Aptos" w:hAnsi="Aptos" w:cs="Aptos" w:eastAsia="Aptos"/>
          <w:b w:val="0"/>
          <w:i w:val="0"/>
          <w:color w:val="2B2B2B"/>
          <w:sz w:val="20"/>
        </w:rPr>
        <w:t>, processo n.º 119/20.1T8FAF.G1, relator José Carlos Duarte. Citado em 11.3.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descarregados e lidos na íntegra nas bases dos tribunais superiores. Resultado negativo registado em 11.5.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Judicial da Comarca do Porto, juízo central criminal de Matosinhos, de 9.9.2026</w:t>
      </w:r>
      <w:r>
        <w:rPr>
          <w:rFonts w:ascii="Aptos" w:hAnsi="Aptos" w:cs="Aptos" w:eastAsia="Aptos"/>
          <w:b w:val="0"/>
          <w:i w:val="0"/>
          <w:color w:val="2B2B2B"/>
          <w:sz w:val="20"/>
        </w:rPr>
        <w:t xml:space="preserve"> — abrigos de Santo Tirso. </w:t>
      </w:r>
      <w:r>
        <w:rPr>
          <w:rFonts w:ascii="Aptos" w:hAnsi="Aptos" w:cs="Aptos" w:eastAsia="Aptos"/>
          <w:b/>
          <w:i w:val="0"/>
          <w:color w:val="2B2B2B"/>
          <w:sz w:val="20"/>
        </w:rPr>
        <w:t>Texto não obtido</w:t>
      </w:r>
      <w:r>
        <w:rPr>
          <w:rFonts w:ascii="Aptos" w:hAnsi="Aptos" w:cs="Aptos" w:eastAsia="Aptos"/>
          <w:b w:val="0"/>
          <w:i w:val="0"/>
          <w:color w:val="2B2B2B"/>
          <w:sz w:val="20"/>
        </w:rPr>
        <w:t>; usado no ponto 9.5 apenas por notícia da leitura oral. Decisão objeto de recurso anunciado.</w:t>
      </w:r>
    </w:p>
    <w:p>
      <w:pPr>
        <w:keepNext/>
        <w:spacing w:before="260" w:after="80" w:line="293" w:lineRule="auto"/>
      </w:pPr>
      <w:r>
        <w:rPr>
          <w:rFonts w:ascii="Aptos" w:hAnsi="Aptos" w:cs="Aptos" w:eastAsia="Aptos"/>
          <w:b/>
          <w:i w:val="0"/>
          <w:color w:val="7C8894"/>
          <w:sz w:val="21"/>
        </w:rPr>
        <w:t xml:space="preserve">C.3  </w:t>
      </w:r>
      <w:r>
        <w:rPr>
          <w:rFonts w:ascii="Aptos" w:hAnsi="Aptos" w:cs="Aptos" w:eastAsia="Aptos"/>
          <w:b/>
          <w:i w:val="0"/>
          <w:color w:val="35506B"/>
          <w:sz w:val="21"/>
        </w:rPr>
        <w:t>Doutrina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BRANCO, Bruno Filipe Salvador da Silva</w:t>
      </w:r>
      <w:r>
        <w:rPr>
          <w:rFonts w:ascii="Aptos" w:hAnsi="Aptos" w:cs="Aptos" w:eastAsia="Aptos"/>
          <w:b w:val="0"/>
          <w:i w:val="0"/>
          <w:color w:val="2B2B2B"/>
          <w:sz w:val="20"/>
        </w:rPr>
        <w:t xml:space="preserve">, «A detenção de animais de companhia — uma análise do ponto de vista contraordenacional», *Revista Jurídica Luso-Brasileira*, Ano 5 (2019), n.º 2, pp. 229-260. Centro de Investigação de Direito Privado da Faculdade de Direito da Universidade de Lisboa. </w:t>
      </w:r>
      <w:r>
        <w:rPr>
          <w:rFonts w:ascii="Aptos" w:hAnsi="Aptos" w:cs="Aptos" w:eastAsia="Aptos"/>
          <w:b/>
          <w:i w:val="0"/>
          <w:color w:val="2B2B2B"/>
          <w:sz w:val="20"/>
        </w:rPr>
        <w:t>Lido integralmente</w:t>
      </w:r>
      <w:r>
        <w:rPr>
          <w:rFonts w:ascii="Aptos" w:hAnsi="Aptos" w:cs="Aptos" w:eastAsia="Aptos"/>
          <w:b w:val="0"/>
          <w:i w:val="0"/>
          <w:color w:val="2B2B2B"/>
          <w:sz w:val="20"/>
        </w:rPr>
        <w:t>; tratado em 11.4. É a única fonte doutrinal localizada que trata o artigo 3.º na perspetiva da fiscalização.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Posição doutrinal sobre os limites do artigo 3.º em propriedade horizontal</w:t>
      </w:r>
      <w:r>
        <w:rPr>
          <w:rFonts w:ascii="Aptos" w:hAnsi="Aptos" w:cs="Aptos" w:eastAsia="Aptos"/>
          <w:b w:val="0"/>
          <w:i w:val="0"/>
          <w:color w:val="2B2B2B"/>
          <w:sz w:val="20"/>
        </w:rPr>
        <w:t xml:space="preserve"> — sustenta que os limites valem apenas para prevenção de zoonoses e não limitam os poderes do proprietário de fracção autónoma. Referida em 11.3 pelo seu conteúdo, por não ter sido acolhida pelo Tribunal da Relação de Guimarães. </w:t>
      </w:r>
      <w:r>
        <w:rPr>
          <w:rFonts w:ascii="Aptos" w:hAnsi="Aptos" w:cs="Aptos" w:eastAsia="Aptos"/>
          <w:b/>
          <w:i w:val="0"/>
          <w:color w:val="2B2B2B"/>
          <w:sz w:val="20"/>
        </w:rPr>
        <w:t>Fonte não consultada em primeira mão.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Lacuna assumida.</w:t>
            </w:r>
            <w:r>
              <w:rPr>
                <w:rFonts w:ascii="Aptos" w:hAnsi="Aptos" w:cs="Aptos" w:eastAsia="Aptos"/>
                <w:b w:val="0"/>
                <w:i w:val="0"/>
                <w:color w:val="2B2B2B"/>
                <w:sz w:val="19"/>
              </w:rPr>
              <w:t xml:space="preserve"> Não se localizou doutrina que trate a questão deste estudo — se os limites por fogo fixam a lotação de um alojamento registado —, nem doutrina, jurisprudência ou parecer sobre a ressalva da al. p) do n.º 1 do artigo 2.º do Decreto-Lei n.º 276/2001 (ver 14.4). O raciocínio dos capítulos 9, 14 e 15 é próprio.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C.4  </w:t>
      </w:r>
      <w:r>
        <w:rPr>
          <w:rFonts w:ascii="Aptos" w:hAnsi="Aptos" w:cs="Aptos" w:eastAsia="Aptos"/>
          <w:b/>
          <w:i w:val="0"/>
          <w:color w:val="35506B"/>
          <w:sz w:val="21"/>
        </w:rPr>
        <w:t>Fontes administrativas e institucionais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versão de julho de 2025. Tratada em 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Diário da República, 2.ª série, n.º 22; artigo 13.º.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Comunidade Intermunicipal do Alto Minho</w:t>
      </w:r>
      <w:r>
        <w:rPr>
          <w:rFonts w:ascii="Aptos" w:hAnsi="Aptos" w:cs="Aptos" w:eastAsia="Aptos"/>
          <w:b w:val="0"/>
          <w:i w:val="0"/>
          <w:color w:val="2B2B2B"/>
          <w:sz w:val="20"/>
        </w:rPr>
        <w:t xml:space="preserve"> — perguntas frequentes sobre animais de companhia.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Parecer jurídico externo obtido pela Câmara Municipal de Santo Tirso (2018)</w:t>
      </w:r>
      <w:r>
        <w:rPr>
          <w:rFonts w:ascii="Aptos" w:hAnsi="Aptos" w:cs="Aptos" w:eastAsia="Aptos"/>
          <w:b w:val="0"/>
          <w:i w:val="0"/>
          <w:color w:val="2B2B2B"/>
          <w:sz w:val="20"/>
        </w:rPr>
        <w:t xml:space="preserve"> — conclui que «as câmaras não têm competência para encerrar abrigos de animais». </w:t>
      </w:r>
      <w:r>
        <w:rPr>
          <w:rFonts w:ascii="Aptos" w:hAnsi="Aptos" w:cs="Aptos" w:eastAsia="Aptos"/>
          <w:b/>
          <w:i w:val="0"/>
          <w:color w:val="2B2B2B"/>
          <w:sz w:val="20"/>
        </w:rPr>
        <w:t>Texto não obtido</w:t>
      </w:r>
      <w:r>
        <w:rPr>
          <w:rFonts w:ascii="Aptos" w:hAnsi="Aptos" w:cs="Aptos" w:eastAsia="Aptos"/>
          <w:b w:val="0"/>
          <w:i w:val="0"/>
          <w:color w:val="2B2B2B"/>
          <w:sz w:val="20"/>
        </w:rPr>
        <w:t>; conhecido por referência na imprensa. Tratado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dirigido à Câmara Municipal de Santo Tirso a propósito do abrigo «Cantinho das Quatro Patas». </w:t>
      </w:r>
      <w:r>
        <w:rPr>
          <w:rFonts w:ascii="Aptos" w:hAnsi="Aptos" w:cs="Aptos" w:eastAsia="Aptos"/>
          <w:b/>
          <w:i w:val="0"/>
          <w:color w:val="2B2B2B"/>
          <w:sz w:val="20"/>
        </w:rPr>
        <w:t>Texto não obtido</w:t>
      </w:r>
      <w:r>
        <w:rPr>
          <w:rFonts w:ascii="Aptos" w:hAnsi="Aptos" w:cs="Aptos" w:eastAsia="Aptos"/>
          <w:b w:val="0"/>
          <w:i w:val="0"/>
          <w:color w:val="2B2B2B"/>
          <w:sz w:val="20"/>
        </w:rPr>
        <w:t xml:space="preserve">, e procurado sem êxito: não é ato sujeito a publicação no Diário da República, e a pesquisa não o localizou em fonte primária. Conhece-se pelas notícias de 31.7.2020 e pelas declarações do presidente da câmara nessa data, que o confirmam mas divergem quanto ao seu conteúdo — diligências para </w:t>
      </w:r>
      <w:r>
        <w:rPr>
          <w:rFonts w:ascii="Aptos" w:hAnsi="Aptos" w:cs="Aptos" w:eastAsia="Aptos"/>
          <w:b/>
          <w:i w:val="0"/>
          <w:color w:val="2B2B2B"/>
          <w:sz w:val="20"/>
        </w:rPr>
        <w:t>retirar os animais</w:t>
      </w:r>
      <w:r>
        <w:rPr>
          <w:rFonts w:ascii="Aptos" w:hAnsi="Aptos" w:cs="Aptos" w:eastAsia="Aptos"/>
          <w:b w:val="0"/>
          <w:i w:val="0"/>
          <w:color w:val="2B2B2B"/>
          <w:sz w:val="20"/>
        </w:rPr>
        <w:t xml:space="preserve">, numa versão; </w:t>
      </w:r>
      <w:r>
        <w:rPr>
          <w:rFonts w:ascii="Aptos" w:hAnsi="Aptos" w:cs="Aptos" w:eastAsia="Aptos"/>
          <w:b/>
          <w:i w:val="0"/>
          <w:color w:val="2B2B2B"/>
          <w:sz w:val="20"/>
        </w:rPr>
        <w:t>encerramento</w:t>
      </w:r>
      <w:r>
        <w:rPr>
          <w:rFonts w:ascii="Aptos" w:hAnsi="Aptos" w:cs="Aptos" w:eastAsia="Aptos"/>
          <w:b w:val="0"/>
          <w:i w:val="0"/>
          <w:color w:val="2B2B2B"/>
          <w:sz w:val="20"/>
        </w:rPr>
        <w:t xml:space="preserve"> do abrigo, noutra. Tratado em 9.5, com a divergência assinalada.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«Esclarecimento sobre legalidade dos alojamentos de hospedagem de animais sem fins lucrativos afetados pelo incêndio de Santo Tirso»</w:t>
      </w:r>
      <w:r>
        <w:rPr>
          <w:rFonts w:ascii="Aptos" w:hAnsi="Aptos" w:cs="Aptos" w:eastAsia="Aptos"/>
          <w:b w:val="0"/>
          <w:i w:val="0"/>
          <w:color w:val="2B2B2B"/>
          <w:sz w:val="20"/>
        </w:rPr>
        <w:t xml:space="preserve">, XXII Governo, Secretaria de Estado da Agricultura e do Desenvolvimento Rural, 21.7.2020. </w:t>
      </w:r>
      <w:r>
        <w:rPr>
          <w:rFonts w:ascii="Aptos" w:hAnsi="Aptos" w:cs="Aptos" w:eastAsia="Aptos"/>
          <w:b/>
          <w:i w:val="0"/>
          <w:color w:val="2B2B2B"/>
          <w:sz w:val="20"/>
        </w:rPr>
        <w:t>Lido.</w:t>
      </w:r>
      <w:r>
        <w:rPr>
          <w:rFonts w:ascii="Aptos" w:hAnsi="Aptos" w:cs="Aptos" w:eastAsia="Aptos"/>
          <w:b w:val="0"/>
          <w:i w:val="0"/>
          <w:color w:val="2B2B2B"/>
          <w:sz w:val="20"/>
        </w:rPr>
        <w:t xml:space="preserve"> Fonte do histórico de vistorias desde 2006, da intervenção da DGAV desde 2010 e da afirmação de que os dois espaços nunca cumpriram os procedimentos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n.º 6928/2020, de 19 de junho</w:t>
      </w:r>
      <w:r>
        <w:rPr>
          <w:rFonts w:ascii="Aptos" w:hAnsi="Aptos" w:cs="Aptos" w:eastAsia="Aptos"/>
          <w:b w:val="0"/>
          <w:i w:val="0"/>
          <w:color w:val="2B2B2B"/>
          <w:sz w:val="20"/>
        </w:rPr>
        <w:t xml:space="preserve"> — Grupo de Trabalho para o Bem-Estar Animal, invocado naquele esclarecimento.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Requerimento do Grupo Parlamentar do PAN de 22 de julho de 2020</w:t>
      </w:r>
      <w:r>
        <w:rPr>
          <w:rFonts w:ascii="Aptos" w:hAnsi="Aptos" w:cs="Aptos" w:eastAsia="Aptos"/>
          <w:b w:val="0"/>
          <w:i w:val="0"/>
          <w:color w:val="2B2B2B"/>
          <w:sz w:val="20"/>
        </w:rPr>
        <w:t xml:space="preserve">, dirigido ao presidente da Comissão de Agricultura e Mar, para audição do presidente da Câmara Municipal de Santo Tirso (Audição parlamentar n.º 32-CAM-XIV). </w:t>
      </w:r>
      <w:r>
        <w:rPr>
          <w:rFonts w:ascii="Aptos" w:hAnsi="Aptos" w:cs="Aptos" w:eastAsia="Aptos"/>
          <w:b/>
          <w:i w:val="0"/>
          <w:color w:val="2B2B2B"/>
          <w:sz w:val="20"/>
        </w:rPr>
        <w:t>Obtido e lido na íntegra.</w:t>
      </w:r>
      <w:r>
        <w:rPr>
          <w:rFonts w:ascii="Aptos" w:hAnsi="Aptos" w:cs="Aptos" w:eastAsia="Aptos"/>
          <w:b w:val="0"/>
          <w:i w:val="0"/>
          <w:color w:val="2B2B2B"/>
          <w:sz w:val="20"/>
        </w:rPr>
        <w:t xml:space="preserve"> É a fonte que permitiu localizar o artigo 3.º-G, e é onde consta a transcrição desatualizada desse artigo tratada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32-CAM-XIV</w:t>
      </w:r>
      <w:r>
        <w:rPr>
          <w:rFonts w:ascii="Aptos" w:hAnsi="Aptos" w:cs="Aptos" w:eastAsia="Aptos"/>
          <w:b w:val="0"/>
          <w:i w:val="0"/>
          <w:color w:val="2B2B2B"/>
          <w:sz w:val="20"/>
        </w:rPr>
        <w:t xml:space="preserve">, Comissão de Agricultura e Mar, 30.7.2020 — presidente da Câmara Municipal de Santo Tirso, a requerimento do PAN. Registo oficial consultado; </w:t>
      </w:r>
      <w:r>
        <w:rPr>
          <w:rFonts w:ascii="Aptos" w:hAnsi="Aptos" w:cs="Aptos" w:eastAsia="Aptos"/>
          <w:b/>
          <w:i w:val="0"/>
          <w:color w:val="2B2B2B"/>
          <w:sz w:val="20"/>
        </w:rPr>
        <w:t>existe gravação vídeo e não ata</w:t>
      </w:r>
      <w:r>
        <w:rPr>
          <w:rFonts w:ascii="Aptos" w:hAnsi="Aptos" w:cs="Aptos" w:eastAsia="Aptos"/>
          <w:b w:val="0"/>
          <w:i w:val="0"/>
          <w:color w:val="2B2B2B"/>
          <w:sz w:val="20"/>
        </w:rPr>
        <w:t>, pelo que o teor não foi transcrito.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33-CAM-XIV</w:t>
      </w:r>
      <w:r>
        <w:rPr>
          <w:rFonts w:ascii="Aptos" w:hAnsi="Aptos" w:cs="Aptos" w:eastAsia="Aptos"/>
          <w:b w:val="0"/>
          <w:i w:val="0"/>
          <w:color w:val="2B2B2B"/>
          <w:sz w:val="20"/>
        </w:rPr>
        <w:t>, na mesma data — Ministra da Agricultura, Ministro da Administração Interna e Secretária de Estado da Administração Interna, a requerimento do BE, do PAN e da Deputada Não Inscrita Cristina Rodrigues. Idem.</w:t>
      </w:r>
    </w:p>
    <w:p>
      <w:pPr>
        <w:keepNext/>
        <w:spacing w:before="260" w:after="80" w:line="293" w:lineRule="auto"/>
      </w:pPr>
      <w:r>
        <w:rPr>
          <w:rFonts w:ascii="Aptos" w:hAnsi="Aptos" w:cs="Aptos" w:eastAsia="Aptos"/>
          <w:b/>
          <w:i w:val="0"/>
          <w:color w:val="7C8894"/>
          <w:sz w:val="21"/>
        </w:rPr>
        <w:t xml:space="preserve">C.5  </w:t>
      </w:r>
      <w:r>
        <w:rPr>
          <w:rFonts w:ascii="Aptos" w:hAnsi="Aptos" w:cs="Aptos" w:eastAsia="Aptos"/>
          <w:b/>
          <w:i w:val="0"/>
          <w:color w:val="35506B"/>
          <w:sz w:val="21"/>
        </w:rPr>
        <w:t>Imprensa — caso de Santo Tirso</w:t>
      </w:r>
    </w:p>
    <w:p>
      <w:pPr>
        <w:spacing w:before="0" w:after="140" w:line="293" w:lineRule="auto"/>
        <w:jc w:val="both"/>
      </w:pPr>
      <w:r>
        <w:rPr>
          <w:rFonts w:ascii="Aptos" w:hAnsi="Aptos" w:cs="Aptos" w:eastAsia="Aptos"/>
          <w:b w:val="0"/>
          <w:i w:val="0"/>
          <w:color w:val="2B2B2B"/>
          <w:sz w:val="20"/>
        </w:rPr>
        <w:t>Usada exclusivamente para o apuramento factual do ponto 9.5, e identificada como tal. Não vale como fonte de direito. As peças consultadas divergem no número de animais mortos (54, 73, 92, 93), pelo que o estudo não fixa um número.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20.7.2020 — «Abrigos de animais de Santo Tirso eram ilegais e já tinham sido fiscalizados»; e, na mesma data, a suspensão do médico veterinário municipal pela câmara.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Diário de Notícias</w:t>
      </w:r>
      <w:r>
        <w:rPr>
          <w:rFonts w:ascii="Aptos" w:hAnsi="Aptos" w:cs="Aptos" w:eastAsia="Aptos"/>
          <w:b w:val="0"/>
          <w:i w:val="0"/>
          <w:color w:val="2B2B2B"/>
          <w:sz w:val="20"/>
        </w:rPr>
        <w:t xml:space="preserve"> e </w:t>
      </w:r>
      <w:r>
        <w:rPr>
          <w:rFonts w:ascii="Aptos" w:hAnsi="Aptos" w:cs="Aptos" w:eastAsia="Aptos"/>
          <w:b/>
          <w:i w:val="0"/>
          <w:color w:val="2B2B2B"/>
          <w:sz w:val="20"/>
        </w:rPr>
        <w:t>Observador</w:t>
      </w:r>
      <w:r>
        <w:rPr>
          <w:rFonts w:ascii="Aptos" w:hAnsi="Aptos" w:cs="Aptos" w:eastAsia="Aptos"/>
          <w:b w:val="0"/>
          <w:i w:val="0"/>
          <w:color w:val="2B2B2B"/>
          <w:sz w:val="20"/>
        </w:rPr>
        <w:t xml:space="preserve">, 31.7.2020 — «Autarca diz só soube há dias da notificação de 2012 para fechar canil» / «Autarca de Santo Tirso "só nos últimos dias" soube que DGAV quis fechar abrigo em 2012». </w:t>
      </w:r>
      <w:r>
        <w:rPr>
          <w:rFonts w:ascii="Aptos" w:hAnsi="Aptos" w:cs="Aptos" w:eastAsia="Aptos"/>
          <w:b/>
          <w:i w:val="0"/>
          <w:color w:val="2B2B2B"/>
          <w:sz w:val="20"/>
        </w:rPr>
        <w:t>Fonte da transcrição das declarações do presidente da câmara citada em 9.5</w:t>
      </w:r>
      <w:r>
        <w:rPr>
          <w:rFonts w:ascii="Aptos" w:hAnsi="Aptos" w:cs="Aptos" w:eastAsia="Aptos"/>
          <w:b w:val="0"/>
          <w:i w:val="0"/>
          <w:color w:val="2B2B2B"/>
          <w:sz w:val="20"/>
        </w:rPr>
        <w:t>, e do parecer de 2018. É também daqui que resulta a divergência sobre o conteúdo do despacho de 2012.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11.12.2024 — remessa do processo para julgamento; identificação dos arguidos e do número de crimes imputados a cada um.</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Cronologia processual</w:t>
      </w:r>
      <w:r>
        <w:rPr>
          <w:rFonts w:ascii="Aptos" w:hAnsi="Aptos" w:cs="Aptos" w:eastAsia="Aptos"/>
          <w:b w:val="0"/>
          <w:i w:val="0"/>
          <w:color w:val="2B2B2B"/>
          <w:sz w:val="20"/>
        </w:rPr>
        <w:t xml:space="preserve"> — arquivamento pelo Ministério Público no final de 2022 por insuficiência de prova; reabertura em 26.3.2023 por impulso do PAN e de associações; pronúncia em dezembro de 2024; início do julgamento em 24.2.2026.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Jornal de Notícias</w:t>
      </w:r>
      <w:r>
        <w:rPr>
          <w:rFonts w:ascii="Aptos" w:hAnsi="Aptos" w:cs="Aptos" w:eastAsia="Aptos"/>
          <w:b w:val="0"/>
          <w:i w:val="0"/>
          <w:color w:val="2B2B2B"/>
          <w:sz w:val="20"/>
        </w:rPr>
        <w:t xml:space="preserve"> — cobertura do julgamento, incluindo a posição do Ministério Público de não ver prova de crime.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da leitura da decisão de 9.9.2026</w:t>
      </w:r>
      <w:r>
        <w:rPr>
          <w:rFonts w:ascii="Aptos" w:hAnsi="Aptos" w:cs="Aptos" w:eastAsia="Aptos"/>
          <w:b w:val="0"/>
          <w:i w:val="0"/>
          <w:color w:val="2B2B2B"/>
          <w:sz w:val="20"/>
        </w:rPr>
        <w:t xml:space="preserve"> — absolvição dos cinco arguidos e fundamento relativo à ausência de poderes para ordenar a evacuação forçada; anúncio de recurso pelo PAN, assistente no processo.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parlamentar de 2020</w:t>
      </w:r>
      <w:r>
        <w:rPr>
          <w:rFonts w:ascii="Aptos" w:hAnsi="Aptos" w:cs="Aptos" w:eastAsia="Aptos"/>
          <w:b w:val="0"/>
          <w:i w:val="0"/>
          <w:color w:val="2B2B2B"/>
          <w:sz w:val="20"/>
        </w:rPr>
        <w:t xml:space="preserve"> — pedido do PEV de levantamento nacional dos abrigos privados e pedido do Bloco de Esquerda de esclarecimentos ministeriais.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Observador</w:t>
      </w:r>
      <w:r>
        <w:rPr>
          <w:rFonts w:ascii="Aptos" w:hAnsi="Aptos" w:cs="Aptos" w:eastAsia="Aptos"/>
          <w:b w:val="0"/>
          <w:i w:val="0"/>
          <w:color w:val="2B2B2B"/>
          <w:sz w:val="20"/>
        </w:rPr>
        <w:t xml:space="preserve"> — trabalho sobre a relação entre a proibição do abate e o crescimento de abrigos clandestinos.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w:t>
            </w:r>
            <w:r>
              <w:rPr>
                <w:rFonts w:ascii="Aptos" w:hAnsi="Aptos" w:cs="Aptos" w:eastAsia="Aptos"/>
                <w:b w:val="0"/>
                <w:i w:val="0"/>
                <w:color w:val="2B2B2B"/>
                <w:sz w:val="19"/>
              </w:rPr>
              <w:t xml:space="preserve"> Tudo o que no ponto 9.5 provém desta secção está aí assinalado como resultante de notícia. O estudo não retira do caso de Santo Tirso qualquer conclusão jurídica que não esteja independentemente fundada na lei — o caso serve de ilustração e de teste à tese, nunca de premissa.</w:t>
            </w:r>
          </w:p>
        </w:tc>
      </w:tr>
    </w:tbl>
    <w:p>
      <w:pPr>
        <w:spacing w:before="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