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2.0.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2.0 (ensaio), com o conteúdo da versão 1.20</w:t>
            </w:r>
          </w:p>
        </w:tc>
      </w:tr>
      <w:tr>
        <w:tc>
          <w:tcPr>
            <w:tcW w:w="2551" w:type="dxa"/>
          </w:tcPr>
          <w:p>
            <w:pPr>
              <w:spacing w:after="60"/>
            </w:pPr>
            <w:r/>
            <w:r>
              <w:rPr>
                <w:b/>
                <w:sz w:val="20"/>
              </w:rPr>
              <w:t>Data</w:t>
            </w:r>
          </w:p>
        </w:tc>
        <w:tc>
          <w:tcPr>
            <w:tcW w:w="6520" w:type="dxa"/>
          </w:tcPr>
          <w:p>
            <w:pPr>
              <w:spacing w:after="60"/>
            </w:pPr>
            <w:r/>
            <w:r>
              <w:rPr>
                <w:b w:val="0"/>
                <w:sz w:val="20"/>
              </w:rPr>
              <w:t>13.10.2026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P-41. Duas normas diferentes sobre que espécies são animais de companhia (art. 2.º)</w:t>
      </w:r>
    </w:p>
    <w:p>
      <w:pPr>
        <w:spacing w:after="0"/>
        <w:ind w:left="567"/>
      </w:pPr>
      <w:r>
        <w:rPr>
          <w:b w:val="0"/>
          <w:i w:val="0"/>
        </w:rPr>
        <w:t>P-01. A definição de titular depende só do registo (art. 3.º)</w:t>
      </w:r>
    </w:p>
    <w:p>
      <w:pPr>
        <w:spacing w:after="0"/>
        <w:ind w:left="567"/>
      </w:pPr>
      <w:r>
        <w:rPr>
          <w:b w:val="0"/>
          <w:i w:val="0"/>
        </w:rPr>
        <w:t>P-03. Sem regra sobre o valor do registo SIAC face à propriedade (art. 3.º)</w:t>
      </w:r>
    </w:p>
    <w:p>
      <w:pPr>
        <w:spacing w:after="0"/>
        <w:ind w:left="567"/>
      </w:pPr>
      <w:r>
        <w:rPr>
          <w:b w:val="0"/>
          <w:i w:val="0"/>
        </w:rPr>
        <w:t>P-09. «Titular ou operador» quando o operador já é titular (art. 3.º)</w:t>
      </w:r>
    </w:p>
    <w:p>
      <w:pPr>
        <w:spacing w:after="0"/>
        <w:ind w:left="567"/>
      </w:pPr>
      <w:r>
        <w:rPr>
          <w:b w:val="0"/>
          <w:i w:val="0"/>
        </w:rPr>
        <w:t>P-14. Família de acolhimento sem operador fica sem enquadramento (art. 3.º)</w:t>
      </w:r>
    </w:p>
    <w:p>
      <w:pPr>
        <w:spacing w:after="0"/>
        <w:ind w:left="567"/>
      </w:pPr>
      <w:r>
        <w:rPr>
          <w:b w:val="0"/>
          <w:i w:val="0"/>
        </w:rPr>
        <w:t>P-18. Animais deixados em centros veterinários (art. 3.º)</w:t>
      </w:r>
    </w:p>
    <w:p>
      <w:pPr>
        <w:spacing w:after="0"/>
        <w:ind w:left="567"/>
      </w:pPr>
      <w:r>
        <w:rPr>
          <w:b w:val="0"/>
          <w:i w:val="0"/>
        </w:rPr>
        <w:t>P-36. Nada diz quem é titular quando o animal não tem proprietário (art. 3.º)</w:t>
      </w:r>
    </w:p>
    <w:p>
      <w:pPr>
        <w:spacing w:after="0"/>
        <w:ind w:left="567"/>
      </w:pPr>
      <w:r>
        <w:rPr>
          <w:b w:val="0"/>
          <w:i w:val="0"/>
        </w:rPr>
        <w:t>P-38. A definição de animal errante passa a abranger qualquer animal não identificado (art. 3.º)</w:t>
      </w:r>
    </w:p>
    <w:p>
      <w:pPr>
        <w:spacing w:after="40"/>
      </w:pPr>
    </w:p>
    <w:p>
      <w:pPr>
        <w:spacing w:after="40"/>
      </w:pPr>
      <w:r>
        <w:rPr>
          <w:b/>
          <w:i w:val="0"/>
        </w:rPr>
        <w:t>4. Capítulo II. Princípios Gerais</w:t>
      </w:r>
    </w:p>
    <w:p>
      <w:pPr>
        <w:spacing w:after="0"/>
        <w:ind w:left="567"/>
      </w:pPr>
      <w:r>
        <w:rPr>
          <w:b w:val="0"/>
          <w:i w:val="0"/>
        </w:rPr>
        <w:t>P-13. Quem responde pelos danos causados pelo animal (art. 6.º)</w:t>
      </w:r>
    </w:p>
    <w:p>
      <w:pPr>
        <w:spacing w:after="0"/>
        <w:ind w:left="567"/>
      </w:pPr>
      <w:r>
        <w:rPr>
          <w:b w:val="0"/>
          <w:i w:val="0"/>
        </w:rPr>
        <w:t>P-16. Detentores de facto que dizem tratar de animais errantes (art. 6.º)</w:t>
      </w:r>
    </w:p>
    <w:p>
      <w:pPr>
        <w:spacing w:after="0"/>
        <w:ind w:left="567"/>
      </w:pPr>
      <w:r>
        <w:rPr>
          <w:b w:val="0"/>
          <w:i w:val="0"/>
        </w:rPr>
        <w:t>P-40.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P-12. Redação por decidir no art. 22.º (art. 22.º)</w:t>
      </w:r>
    </w:p>
    <w:p>
      <w:pPr>
        <w:spacing w:after="40"/>
      </w:pPr>
    </w:p>
    <w:p>
      <w:pPr>
        <w:spacing w:after="40"/>
      </w:pPr>
      <w:r>
        <w:rPr>
          <w:b/>
          <w:i w:val="0"/>
        </w:rPr>
        <w:t>6. Capítulo VI. Meios de contenção</w:t>
      </w:r>
    </w:p>
    <w:p>
      <w:pPr>
        <w:spacing w:after="0"/>
        <w:ind w:left="567"/>
      </w:pPr>
      <w:r>
        <w:rPr>
          <w:b w:val="0"/>
          <w:i w:val="0"/>
        </w:rPr>
        <w:t>P-30.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P-02. Registo em nome de quem detém o animal e não de quem é dono (art. 69.º)</w:t>
      </w:r>
    </w:p>
    <w:p>
      <w:pPr>
        <w:spacing w:after="0"/>
        <w:ind w:left="567"/>
      </w:pPr>
      <w:r>
        <w:rPr>
          <w:b w:val="0"/>
          <w:i w:val="0"/>
        </w:rPr>
        <w:t>P-08. Animais perigosos: o operador pode ser uma sociedade, o titular não (art. 69.º)</w:t>
      </w:r>
    </w:p>
    <w:p>
      <w:pPr>
        <w:spacing w:after="0"/>
        <w:ind w:left="567"/>
      </w:pPr>
      <w:r>
        <w:rPr>
          <w:b w:val="0"/>
          <w:i w:val="0"/>
        </w:rPr>
        <w:t>P-10. Terminologia do CRO ainda não uniforme (art. 70.º)</w:t>
      </w:r>
    </w:p>
    <w:p>
      <w:pPr>
        <w:spacing w:after="0"/>
        <w:ind w:left="567"/>
      </w:pPr>
      <w:r>
        <w:rPr>
          <w:b w:val="0"/>
          <w:i w:val="0"/>
        </w:rPr>
        <w:t>P-05. A presunção de abandono remete para normas erradas e não diz a quem se aplica (art. 73.º)</w:t>
      </w:r>
    </w:p>
    <w:p>
      <w:pPr>
        <w:spacing w:after="0"/>
        <w:ind w:left="567"/>
      </w:pPr>
      <w:r>
        <w:rPr>
          <w:b w:val="0"/>
          <w:i w:val="0"/>
        </w:rPr>
        <w:t>P-17. Prazos de comunicação ao SIAC mais pesados do que o Regulamento europeu (art. 73.º)</w:t>
      </w:r>
    </w:p>
    <w:p>
      <w:pPr>
        <w:spacing w:after="0"/>
        <w:ind w:left="567"/>
      </w:pPr>
      <w:r>
        <w:rPr>
          <w:b w:val="0"/>
          <w:i w:val="0"/>
        </w:rPr>
        <w:t>P-04.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P-21. Proibição nacional de alimentar animais na via pública (art. 84.º)</w:t>
      </w:r>
    </w:p>
    <w:p>
      <w:pPr>
        <w:spacing w:after="0"/>
        <w:ind w:left="567"/>
      </w:pPr>
      <w:r>
        <w:rPr>
          <w:b w:val="0"/>
          <w:i w:val="0"/>
        </w:rPr>
        <w:t>P-35. Plano municipal de controlo de errantes sem conteúdo mínimo nem consequências (art. 85.º)</w:t>
      </w:r>
    </w:p>
    <w:p>
      <w:pPr>
        <w:spacing w:after="0"/>
        <w:ind w:left="567"/>
      </w:pPr>
      <w:r>
        <w:rPr>
          <w:b w:val="0"/>
          <w:i w:val="0"/>
        </w:rPr>
        <w:t>P-19. O CED passa a ser só uma faculdade das câmaras (art. 86.º)</w:t>
      </w:r>
    </w:p>
    <w:p>
      <w:pPr>
        <w:spacing w:after="0"/>
        <w:ind w:left="567"/>
      </w:pPr>
      <w:r>
        <w:rPr>
          <w:b w:val="0"/>
          <w:i w:val="0"/>
        </w:rPr>
        <w:t>P-20. O cuidador de colónia não existe no texto (art. 86.º)</w:t>
      </w:r>
    </w:p>
    <w:p>
      <w:pPr>
        <w:spacing w:after="0"/>
        <w:ind w:left="567"/>
      </w:pPr>
      <w:r>
        <w:rPr>
          <w:b w:val="0"/>
          <w:i w:val="0"/>
        </w:rPr>
        <w:t>P-23. Passagem obrigatória pelo CRO antes de o gato entrar na colónia (art. 86.º)</w:t>
      </w:r>
    </w:p>
    <w:p>
      <w:pPr>
        <w:spacing w:after="0"/>
        <w:ind w:left="567"/>
      </w:pPr>
      <w:r>
        <w:rPr>
          <w:b w:val="0"/>
          <w:i w:val="0"/>
        </w:rPr>
        <w:t>P-24. Exclusão dos cães do CED (art. 86.º)</w:t>
      </w:r>
    </w:p>
    <w:p>
      <w:pPr>
        <w:spacing w:after="0"/>
        <w:ind w:left="567"/>
      </w:pPr>
      <w:r>
        <w:rPr>
          <w:b w:val="0"/>
          <w:i w:val="0"/>
        </w:rPr>
        <w:t>P-25. Remissões e numeração erradas no artigo do CED (art. 86.º)</w:t>
      </w:r>
    </w:p>
    <w:p>
      <w:pPr>
        <w:spacing w:after="0"/>
        <w:ind w:left="567"/>
      </w:pPr>
      <w:r>
        <w:rPr>
          <w:b w:val="0"/>
          <w:i w:val="0"/>
        </w:rPr>
        <w:t>P-26. Entidade promotora, entidade responsável e titular: quem responde pela colónia (art. 86.º)</w:t>
      </w:r>
    </w:p>
    <w:p>
      <w:pPr>
        <w:spacing w:after="0"/>
        <w:ind w:left="567"/>
      </w:pPr>
      <w:r>
        <w:rPr>
          <w:b w:val="0"/>
          <w:i w:val="0"/>
        </w:rPr>
        <w:t>P-27. Registo da colónia no SIAC sem conteúdo definido (art. 86.º)</w:t>
      </w:r>
    </w:p>
    <w:p>
      <w:pPr>
        <w:spacing w:after="0"/>
        <w:ind w:left="567"/>
      </w:pPr>
      <w:r>
        <w:rPr>
          <w:b w:val="0"/>
          <w:i w:val="0"/>
        </w:rPr>
        <w:t>P-29. CED e conservação da natureza (art. 86.º)</w:t>
      </w:r>
    </w:p>
    <w:p>
      <w:pPr>
        <w:spacing w:after="0"/>
        <w:ind w:left="567"/>
      </w:pPr>
      <w:r>
        <w:rPr>
          <w:b w:val="0"/>
          <w:i w:val="0"/>
        </w:rPr>
        <w:t>P-31. Crias e gatos sociáveis: retirar ou devolver (art. 86.º)</w:t>
      </w:r>
    </w:p>
    <w:p>
      <w:pPr>
        <w:spacing w:after="0"/>
        <w:ind w:left="567"/>
      </w:pPr>
      <w:r>
        <w:rPr>
          <w:b w:val="0"/>
          <w:i w:val="0"/>
        </w:rPr>
        <w:t>P-32. Suspensão do programa e recolha dos gatos sem garantias (art. 86.º)</w:t>
      </w:r>
    </w:p>
    <w:p>
      <w:pPr>
        <w:spacing w:after="0"/>
        <w:ind w:left="567"/>
      </w:pPr>
      <w:r>
        <w:rPr>
          <w:b w:val="0"/>
          <w:i w:val="0"/>
        </w:rPr>
        <w:t>P-33. Meios: médicos veterinários municipais e financiamento (art. 86.º)</w:t>
      </w:r>
    </w:p>
    <w:p>
      <w:pPr>
        <w:spacing w:after="0"/>
        <w:ind w:left="567"/>
      </w:pPr>
      <w:r>
        <w:rPr>
          <w:b w:val="0"/>
          <w:i w:val="0"/>
        </w:rPr>
        <w:t>P-34. Conflito com vizinhos e dimensão da colónia (art. 86.º)</w:t>
      </w:r>
    </w:p>
    <w:p>
      <w:pPr>
        <w:spacing w:after="0"/>
        <w:ind w:left="567"/>
      </w:pPr>
      <w:r>
        <w:rPr>
          <w:b w:val="0"/>
          <w:i w:val="0"/>
        </w:rPr>
        <w:t>P-28. Colónias em prédios privados (art. 87.º)</w:t>
      </w:r>
    </w:p>
    <w:p>
      <w:pPr>
        <w:spacing w:after="0"/>
        <w:ind w:left="567"/>
      </w:pPr>
      <w:r>
        <w:rPr>
          <w:b w:val="0"/>
          <w:i w:val="0"/>
        </w:rPr>
        <w:t>P-15. Quem encontra um animal passa a poder ser punido (art. 91.º)</w:t>
      </w:r>
    </w:p>
    <w:p>
      <w:pPr>
        <w:spacing w:after="0"/>
        <w:ind w:left="567"/>
      </w:pPr>
      <w:r>
        <w:rPr>
          <w:b w:val="0"/>
          <w:i w:val="0"/>
        </w:rPr>
        <w:t>P-22. Só as câmaras podem capturar, mas o CED pode ser gerido por outras entidades (art. 91.º)</w:t>
      </w:r>
    </w:p>
    <w:p>
      <w:pPr>
        <w:spacing w:after="0"/>
        <w:ind w:left="567"/>
      </w:pPr>
      <w:r>
        <w:rPr>
          <w:b w:val="0"/>
          <w:i w:val="0"/>
        </w:rPr>
        <w:t>P-39. A Lei 75/2013 ainda atribui às câmaras o abate de canídeos e gatídeos (art. 91.º)</w:t>
      </w:r>
    </w:p>
    <w:p>
      <w:pPr>
        <w:spacing w:after="0"/>
        <w:ind w:left="567"/>
      </w:pPr>
      <w:r>
        <w:rPr>
          <w:b w:val="0"/>
          <w:i w:val="0"/>
        </w:rPr>
        <w:t>P-37. Quem acolhe um animal errante pode ficar sem saída lícita (art. 94.º)</w:t>
      </w:r>
    </w:p>
    <w:p>
      <w:pPr>
        <w:spacing w:after="40"/>
      </w:pPr>
    </w:p>
    <w:p>
      <w:pPr>
        <w:spacing w:after="40"/>
      </w:pPr>
      <w:r>
        <w:rPr>
          <w:b/>
          <w:i w:val="0"/>
        </w:rPr>
        <w:t>9. Capítulo XV. Medidas administrativas, fiscalização e contraordenações</w:t>
      </w:r>
    </w:p>
    <w:p>
      <w:pPr>
        <w:spacing w:after="0"/>
        <w:ind w:left="567"/>
      </w:pPr>
      <w:r>
        <w:rPr>
          <w:b w:val="0"/>
          <w:i w:val="0"/>
        </w:rPr>
        <w:t>P-06. O abandono não aparece como contraordenação (art. 140.º)</w:t>
      </w:r>
    </w:p>
    <w:p>
      <w:pPr>
        <w:spacing w:after="0"/>
        <w:ind w:left="567"/>
      </w:pPr>
      <w:r>
        <w:rPr>
          <w:b w:val="0"/>
          <w:i w:val="0"/>
        </w:rPr>
        <w:t>P-11. Contraordenação dirigida só aos detentores (art. 140.º)</w:t>
      </w:r>
    </w:p>
    <w:p>
      <w:pPr>
        <w:spacing w:after="0"/>
        <w:ind w:left="567"/>
      </w:pPr>
      <w:r>
        <w:rPr>
          <w:b w:val="0"/>
          <w:i w:val="0"/>
        </w:rPr>
        <w:t>P-42. Os deveres dos CRO e o relatório anual ficam sem coima (art. 140.º)</w:t>
      </w:r>
    </w:p>
    <w:p>
      <w:pPr>
        <w:spacing w:after="40"/>
      </w:pPr>
    </w:p>
    <w:p>
      <w:pPr>
        <w:spacing w:after="40"/>
      </w:pPr>
      <w:r>
        <w:rPr>
          <w:b/>
          <w:i w:val="0"/>
        </w:rPr>
        <w:t>10. Capítulo XVI. Disposições complementares, finais e transitórias</w:t>
      </w:r>
    </w:p>
    <w:p>
      <w:pPr>
        <w:spacing w:after="0"/>
        <w:ind w:left="567"/>
      </w:pPr>
      <w:r>
        <w:rPr>
          <w:b w:val="0"/>
          <w:i w:val="0"/>
        </w:rPr>
        <w:t>P-07. As portarias mantidas usam detentor no sentido antigo (art. 149.º)</w:t>
      </w:r>
    </w:p>
    <w:p>
      <w:pPr>
        <w:spacing w:after="0"/>
        <w:ind w:left="567"/>
      </w:pPr>
      <w:r>
        <w:rPr>
          <w:b w:val="0"/>
          <w:i w:val="0"/>
        </w:rPr>
        <w:t>P-43. A revogação total da Lei 92/95 apaga normas que não tratam de animais de companhia (art. 149.º)</w:t>
      </w:r>
    </w:p>
    <w:p>
      <w:pPr>
        <w:spacing w:after="0"/>
        <w:ind w:left="567"/>
      </w:pPr>
      <w:r>
        <w:rPr>
          <w:b w:val="0"/>
          <w:i w:val="0"/>
        </w:rPr>
        <w:t>P-44. O DL 74/2007 é ressalvado e revogado ao mesmo tempo (art. 149.º)</w:t>
      </w:r>
    </w:p>
    <w:p>
      <w:pPr>
        <w:spacing w:after="40"/>
      </w:pPr>
    </w:p>
    <w:p>
      <w:pPr>
        <w:spacing w:after="40"/>
      </w:pPr>
      <w:r>
        <w:rPr>
          <w:b/>
          <w:i w:val="0"/>
        </w:rPr>
        <w:t>11.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da versão 1.x</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(P-01, P-02, ...), atribuído pela ordem de criação. O código não diz o tema nem o capítulo e nunca muda, mesmo que o RGAC seja renumerado. Quando um problema fica resolvido, a ficha mantém-se com o estado Resolvido.</w:t>
      </w:r>
    </w:p>
    <w:p>
      <w:r>
        <w:rPr>
          <w:b w:val="0"/>
          <w:i w:val="0"/>
        </w:rPr>
        <w:t>Os temas (titularidade, CED e errantes, registo, e outros) são etiquetas. Uma ficha pode ter mais de uma. O Anexo E agrupa as fichas por etiqueta.</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P-01, P-03, P-09, P-14, P-18, P-36, P-13, P-16, P-12, P-02, P-08, P-10, P-05, P-17, P-04, P-15, P-37, P-06, P-11, P-07.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P-38, P-30, P-21, P-35, P-19, P-20, P-23, P-24, P-25, P-26, P-27, P-29, P-31, P-32, P-33, P-34, P-28, P-22, P-39, P-37.</w:t>
      </w:r>
    </w:p>
    <w:p>
      <w:r>
        <w:br w:type="page"/>
      </w:r>
    </w:p>
    <w:p>
      <w:pPr>
        <w:pStyle w:val="Heading1"/>
      </w:pPr>
      <w:r>
        <w:rPr>
          <w:i w:val="0"/>
          <w:color w:val="000000"/>
        </w:rPr>
        <w:t>3. Capítulo I. Disposições Gerais</w:t>
      </w:r>
    </w:p>
    <w:p>
      <w:pPr>
        <w:pStyle w:val="Heading2"/>
      </w:pPr>
      <w:r>
        <w:rPr>
          <w:i w:val="0"/>
          <w:color w:val="000000"/>
        </w:rPr>
        <w:t>P-41.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P-02, P-03</w:t>
            </w:r>
          </w:p>
        </w:tc>
      </w:tr>
    </w:tbl>
    <w:p/>
    <w:p>
      <w:pPr>
        <w:pStyle w:val="Heading2"/>
      </w:pPr>
      <w:r>
        <w:rPr>
          <w:i w:val="0"/>
          <w:color w:val="000000"/>
        </w:rPr>
        <w:t>P-03.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P-37).</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P-13, P-20, P-37</w:t>
            </w:r>
          </w:p>
        </w:tc>
      </w:tr>
    </w:tbl>
    <w:p/>
    <w:p>
      <w:pPr>
        <w:pStyle w:val="Heading2"/>
      </w:pPr>
      <w:r>
        <w:rPr>
          <w:i w:val="0"/>
          <w:color w:val="000000"/>
        </w:rPr>
        <w:t>P-18.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 P-06</w:t>
            </w:r>
          </w:p>
        </w:tc>
      </w:tr>
    </w:tbl>
    <w:p/>
    <w:p>
      <w:pPr>
        <w:pStyle w:val="Heading2"/>
      </w:pPr>
      <w:r>
        <w:rPr>
          <w:i w:val="0"/>
          <w:color w:val="000000"/>
        </w:rPr>
        <w:t>P-36.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P-03, e acrescentar uma norma supletiva: não havendo proprietário conhecido, é titular a entidade a quem a lei comete a responsabilidade pelo animal, designadamente a câmara municipal, através do CRO, nos casos de recolha e nos programas CED. Esta proposta qualifica a da ficha P-01: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P-02, P-03, P-26</w:t>
            </w:r>
          </w:p>
        </w:tc>
      </w:tr>
    </w:tbl>
    <w:p/>
    <w:p>
      <w:pPr>
        <w:pStyle w:val="Heading2"/>
      </w:pPr>
      <w:r>
        <w:rPr>
          <w:i w:val="0"/>
          <w:color w:val="000000"/>
        </w:rPr>
        <w:t>P-38.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P-30).</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P-30, P-15</w:t>
            </w:r>
          </w:p>
        </w:tc>
      </w:tr>
    </w:tbl>
    <w:p/>
    <w:p>
      <w:r>
        <w:br w:type="page"/>
      </w:r>
    </w:p>
    <w:p>
      <w:pPr>
        <w:pStyle w:val="Heading1"/>
      </w:pPr>
      <w:r>
        <w:rPr>
          <w:i w:val="0"/>
          <w:color w:val="000000"/>
        </w:rPr>
        <w:t>4. Capítulo II. Princípios Gerais</w:t>
      </w:r>
    </w:p>
    <w:p>
      <w:pPr>
        <w:pStyle w:val="Heading2"/>
      </w:pPr>
      <w:r>
        <w:rPr>
          <w:i w:val="0"/>
          <w:color w:val="000000"/>
        </w:rPr>
        <w:t>P-13.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P-26</w:t>
            </w:r>
          </w:p>
        </w:tc>
      </w:tr>
    </w:tbl>
    <w:p/>
    <w:p>
      <w:pPr>
        <w:pStyle w:val="Heading2"/>
      </w:pPr>
      <w:r>
        <w:rPr>
          <w:i w:val="0"/>
          <w:color w:val="000000"/>
        </w:rPr>
        <w:t>P-16.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P-28</w:t>
            </w:r>
          </w:p>
        </w:tc>
      </w:tr>
    </w:tbl>
    <w:p/>
    <w:p>
      <w:pPr>
        <w:pStyle w:val="Heading2"/>
      </w:pPr>
      <w:r>
        <w:rPr>
          <w:i w:val="0"/>
          <w:color w:val="000000"/>
        </w:rPr>
        <w:t>P-40.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P-12.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Capítulo VI. Meios de contenção</w:t>
      </w:r>
    </w:p>
    <w:p>
      <w:pPr>
        <w:pStyle w:val="Heading2"/>
      </w:pPr>
      <w:r>
        <w:rPr>
          <w:i w:val="0"/>
          <w:color w:val="000000"/>
        </w:rPr>
        <w:t>P-30.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P-02.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(P-01),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P-14</w:t>
            </w:r>
          </w:p>
        </w:tc>
      </w:tr>
    </w:tbl>
    <w:p/>
    <w:p>
      <w:pPr>
        <w:pStyle w:val="Heading2"/>
      </w:pPr>
      <w:r>
        <w:rPr>
          <w:i w:val="0"/>
          <w:color w:val="000000"/>
        </w:rPr>
        <w:t>P-08.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P-05.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P-04, P-06</w:t>
            </w:r>
          </w:p>
        </w:tc>
      </w:tr>
    </w:tbl>
    <w:p/>
    <w:p>
      <w:pPr>
        <w:pStyle w:val="Heading2"/>
      </w:pPr>
      <w:r>
        <w:rPr>
          <w:i w:val="0"/>
          <w:color w:val="000000"/>
        </w:rPr>
        <w:t>P-17.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(P-05).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r>
        <w:br w:type="page"/>
      </w:r>
    </w:p>
    <w:p>
      <w:pPr>
        <w:pStyle w:val="Heading1"/>
      </w:pPr>
      <w:r>
        <w:rPr>
          <w:i w:val="0"/>
          <w:color w:val="000000"/>
        </w:rPr>
        <w:t>8. Capítulo X. Gestão das populações animais</w:t>
      </w:r>
    </w:p>
    <w:p>
      <w:pPr>
        <w:pStyle w:val="Heading2"/>
      </w:pPr>
      <w:r>
        <w:rPr>
          <w:i w:val="0"/>
          <w:color w:val="000000"/>
        </w:rPr>
        <w:t>P-21.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(P-20) e com o CED dependente de autorização (P-19),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P-35.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P-27</w:t>
            </w:r>
          </w:p>
        </w:tc>
      </w:tr>
    </w:tbl>
    <w:p/>
    <w:p>
      <w:pPr>
        <w:pStyle w:val="Heading2"/>
      </w:pPr>
      <w:r>
        <w:rPr>
          <w:i w:val="0"/>
          <w:color w:val="000000"/>
        </w:rPr>
        <w:t>P-19.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P-39).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P-39</w:t>
            </w:r>
          </w:p>
        </w:tc>
      </w:tr>
    </w:tbl>
    <w:p/>
    <w:p>
      <w:pPr>
        <w:pStyle w:val="Heading2"/>
      </w:pPr>
      <w:r>
        <w:rPr>
          <w:i w:val="0"/>
          <w:color w:val="000000"/>
        </w:rPr>
        <w:t>P-20.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(P-13) e à proibição de alimentar (P-21).</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P-21, P-13, P-14</w:t>
            </w:r>
          </w:p>
        </w:tc>
      </w:tr>
    </w:tbl>
    <w:p/>
    <w:p>
      <w:pPr>
        <w:pStyle w:val="Heading2"/>
      </w:pPr>
      <w:r>
        <w:rPr>
          <w:i w:val="0"/>
          <w:color w:val="000000"/>
        </w:rPr>
        <w:t>P-23.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P-24.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P-25.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P-26.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P-13, P-22</w:t>
            </w:r>
          </w:p>
        </w:tc>
      </w:tr>
    </w:tbl>
    <w:p/>
    <w:p>
      <w:pPr>
        <w:pStyle w:val="Heading2"/>
      </w:pPr>
      <w:r>
        <w:rPr>
          <w:i w:val="0"/>
          <w:color w:val="000000"/>
        </w:rPr>
        <w:t>P-27.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P-29.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P-31.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P-15</w:t>
            </w:r>
          </w:p>
        </w:tc>
      </w:tr>
    </w:tbl>
    <w:p/>
    <w:p>
      <w:pPr>
        <w:pStyle w:val="Heading2"/>
      </w:pPr>
      <w:r>
        <w:rPr>
          <w:i w:val="0"/>
          <w:color w:val="000000"/>
        </w:rPr>
        <w:t>P-32.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P-25</w:t>
            </w:r>
          </w:p>
        </w:tc>
      </w:tr>
    </w:tbl>
    <w:p/>
    <w:p>
      <w:pPr>
        <w:pStyle w:val="Heading2"/>
      </w:pPr>
      <w:r>
        <w:rPr>
          <w:i w:val="0"/>
          <w:color w:val="000000"/>
        </w:rPr>
        <w:t>P-33.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P-34.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P-32</w:t>
            </w:r>
          </w:p>
        </w:tc>
      </w:tr>
    </w:tbl>
    <w:p/>
    <w:p>
      <w:pPr>
        <w:pStyle w:val="Heading2"/>
      </w:pPr>
      <w:r>
        <w:rPr>
          <w:i w:val="0"/>
          <w:color w:val="000000"/>
        </w:rPr>
        <w:t>P-28.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P-16</w:t>
            </w:r>
          </w:p>
        </w:tc>
      </w:tr>
    </w:tbl>
    <w:p/>
    <w:p>
      <w:pPr>
        <w:pStyle w:val="Heading2"/>
      </w:pPr>
      <w:r>
        <w:rPr>
          <w:i w:val="0"/>
          <w:color w:val="000000"/>
        </w:rPr>
        <w:t>P-15.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P-22).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P-34, P-22, P-37</w:t>
            </w:r>
          </w:p>
        </w:tc>
      </w:tr>
    </w:tbl>
    <w:p/>
    <w:p>
      <w:pPr>
        <w:pStyle w:val="Heading2"/>
      </w:pPr>
      <w:r>
        <w:rPr>
          <w:i w:val="0"/>
          <w:color w:val="000000"/>
        </w:rPr>
        <w:t>P-22.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P-26</w:t>
            </w:r>
          </w:p>
        </w:tc>
      </w:tr>
    </w:tbl>
    <w:p/>
    <w:p>
      <w:pPr>
        <w:pStyle w:val="Heading2"/>
      </w:pPr>
      <w:r>
        <w:rPr>
          <w:i w:val="0"/>
          <w:color w:val="000000"/>
        </w:rPr>
        <w:t>P-39.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w:t>
            </w:r>
          </w:p>
        </w:tc>
      </w:tr>
    </w:tbl>
    <w:p/>
    <w:p>
      <w:pPr>
        <w:pStyle w:val="Heading2"/>
      </w:pPr>
      <w:r>
        <w:rPr>
          <w:i w:val="0"/>
          <w:color w:val="000000"/>
        </w:rPr>
        <w:t>P-37.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P-15).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P-15</w:t>
            </w:r>
          </w:p>
        </w:tc>
      </w:tr>
    </w:tbl>
    <w:p/>
    <w:p>
      <w:r>
        <w:br w:type="page"/>
      </w:r>
    </w:p>
    <w:p>
      <w:pPr>
        <w:pStyle w:val="Heading1"/>
      </w:pPr>
      <w:r>
        <w:rPr>
          <w:i w:val="0"/>
          <w:color w:val="000000"/>
        </w:rPr>
        <w:t>9. Capítulo XV. Medidas administrativas, fiscalização e contraordenações</w:t>
      </w:r>
    </w:p>
    <w:p>
      <w:pPr>
        <w:pStyle w:val="Heading2"/>
      </w:pPr>
      <w:r>
        <w:rPr>
          <w:i w:val="0"/>
          <w:color w:val="000000"/>
        </w:rPr>
        <w:t>P-06.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P-06</w:t>
            </w:r>
          </w:p>
        </w:tc>
      </w:tr>
    </w:tbl>
    <w:p/>
    <w:p>
      <w:pPr>
        <w:pStyle w:val="Heading2"/>
      </w:pPr>
      <w:r>
        <w:rPr>
          <w:i w:val="0"/>
          <w:color w:val="000000"/>
        </w:rPr>
        <w:t>P-42.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No art. 140.º: punir a falta ou o atraso do relatório anual e do plano do art. 85.º (ver P-35);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P-06). Ponderar uma norma geral como a da Lei 92/95, art. 12.º, n.º 1, ou pelo menos coima expressa, com a gravidade que hoje tem no DL 276/2001 (art. 68.º, n.º 2, al. d)), para o art. 8.º, n.º 1 (morte sem motivo legítimo). Ver P-43.</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 P-06, P-11, P-39, P-43</w:t>
            </w:r>
          </w:p>
        </w:tc>
      </w:tr>
    </w:tbl>
    <w:p/>
    <w:p>
      <w:r>
        <w:br w:type="page"/>
      </w:r>
    </w:p>
    <w:p>
      <w:pPr>
        <w:pStyle w:val="Heading1"/>
      </w:pPr>
      <w:r>
        <w:rPr>
          <w:i w:val="0"/>
          <w:color w:val="000000"/>
        </w:rPr>
        <w:t>10. Capítulo XVI. Disposições complementares, finais e transitórias</w:t>
      </w:r>
    </w:p>
    <w:p>
      <w:pPr>
        <w:pStyle w:val="Heading2"/>
      </w:pPr>
      <w:r>
        <w:rPr>
          <w:i w:val="0"/>
          <w:color w:val="000000"/>
        </w:rPr>
        <w:t>P-07.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P-43.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P-42).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P-42, P-06</w:t>
            </w:r>
          </w:p>
        </w:tc>
      </w:tr>
    </w:tbl>
    <w:p/>
    <w:p>
      <w:pPr>
        <w:pStyle w:val="Heading2"/>
      </w:pPr>
      <w:r>
        <w:rPr>
          <w:i w:val="0"/>
          <w:color w:val="000000"/>
        </w:rPr>
        <w:t>P-44.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(P-07).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4"/>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P-41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P-36</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P-38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P-13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P-40</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P-12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P-30</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P-02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P-21</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P-35</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P-19</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P-20</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P-23</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P-24</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P-25</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P-26</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P-27</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P-29</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P-31</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P-32</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P-33</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P-34</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P-28</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P-22</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P-37</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P-06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P-42</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P-07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P-43</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P-44</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44 fichas, das quais 40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P-12.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P-05.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P-25.</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P-11.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P-40.</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P-42.</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P-42.</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P-42.</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28</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12</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5</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41</w:t>
            </w:r>
          </w:p>
        </w:tc>
        <w:tc>
          <w:tcPr>
            <w:tcW w:w="1701" w:type="dxa"/>
          </w:tcPr>
          <w:p>
            <w:pPr>
              <w:spacing w:after="60"/>
            </w:pPr>
            <w:r/>
            <w:r>
              <w:rPr>
                <w:b/>
                <w:sz w:val="20"/>
              </w:rPr>
              <w:t>112</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P-41,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P-01, P-03, P-06, P-09, P-14, P-18, P-36, P-20, P-30, P-37, P-38, 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P-03, P-27,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P-13, P-16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P-40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P-40,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P-12,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P-14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P-30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P-01, P-02, P-03, P-08, P-36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P-10, P-17, P-25, P-26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P-04, P-05, P-09, P-17,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P-04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P-42,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P-21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P-35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P-36, P-19, P-20, P-22, P-23, P-24, P-25, P-26, P-27, P-29, P-31, P-32, P-33, P-34,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P-28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P-10, P-42,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P-15, P-22, P-30, P-37, P-38, P-39, P-42,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P-37,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P-10,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P-10, P-42,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P-42,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P-06, P-11, P-15, P-21, P-22, P-40, P-42, P-43,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P-07, P-19,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Titularidade e detenção (20)</w:t>
      </w:r>
    </w:p>
    <w:p>
      <w:pPr>
        <w:spacing w:after="20"/>
        <w:ind w:left="454"/>
      </w:pPr>
      <w:r>
        <w:rPr>
          <w:b w:val="0"/>
          <w:i w:val="0"/>
        </w:rPr>
        <w:t>P-01. A definição de titular depende só do registo (art. 3.º, cap. I)</w:t>
      </w:r>
    </w:p>
    <w:p>
      <w:pPr>
        <w:spacing w:after="20"/>
        <w:ind w:left="454"/>
      </w:pPr>
      <w:r>
        <w:rPr>
          <w:b w:val="0"/>
          <w:i w:val="0"/>
        </w:rPr>
        <w:t>P-03. Sem regra sobre o valor do registo SIAC face à propriedade (art. 3.º, cap. I)</w:t>
      </w:r>
    </w:p>
    <w:p>
      <w:pPr>
        <w:spacing w:after="20"/>
        <w:ind w:left="454"/>
      </w:pPr>
      <w:r>
        <w:rPr>
          <w:b w:val="0"/>
          <w:i w:val="0"/>
        </w:rPr>
        <w:t>P-09. «Titular ou operador» quando o operador já é titular (art. 3.º, cap. I)</w:t>
      </w:r>
    </w:p>
    <w:p>
      <w:pPr>
        <w:spacing w:after="20"/>
        <w:ind w:left="454"/>
      </w:pPr>
      <w:r>
        <w:rPr>
          <w:b w:val="0"/>
          <w:i w:val="0"/>
        </w:rPr>
        <w:t>P-14. Família de acolhimento sem operador fica sem enquadramento (art. 3.º, cap. I)</w:t>
      </w:r>
    </w:p>
    <w:p>
      <w:pPr>
        <w:spacing w:after="20"/>
        <w:ind w:left="454"/>
      </w:pPr>
      <w:r>
        <w:rPr>
          <w:b w:val="0"/>
          <w:i w:val="0"/>
        </w:rPr>
        <w:t>P-18. Animais deixados em centros veterinários (art. 3.º, cap. I)</w:t>
      </w:r>
    </w:p>
    <w:p>
      <w:pPr>
        <w:spacing w:after="20"/>
        <w:ind w:left="454"/>
      </w:pPr>
      <w:r>
        <w:rPr>
          <w:b w:val="0"/>
          <w:i w:val="0"/>
        </w:rPr>
        <w:t>P-36. Nada diz quem é titular quando o animal não tem proprietário (art. 3.º, cap. I)</w:t>
      </w:r>
    </w:p>
    <w:p>
      <w:pPr>
        <w:spacing w:after="20"/>
        <w:ind w:left="454"/>
      </w:pPr>
      <w:r>
        <w:rPr>
          <w:b w:val="0"/>
          <w:i w:val="0"/>
        </w:rPr>
        <w:t>P-13. Quem responde pelos danos causados pelo animal (art. 6.º, cap. II)</w:t>
      </w:r>
    </w:p>
    <w:p>
      <w:pPr>
        <w:spacing w:after="20"/>
        <w:ind w:left="454"/>
      </w:pPr>
      <w:r>
        <w:rPr>
          <w:b w:val="0"/>
          <w:i w:val="0"/>
        </w:rPr>
        <w:t>P-16. Detentores de facto que dizem tratar de animais errantes (art. 6.º, cap. II)</w:t>
      </w:r>
    </w:p>
    <w:p>
      <w:pPr>
        <w:spacing w:after="20"/>
        <w:ind w:left="454"/>
      </w:pPr>
      <w:r>
        <w:rPr>
          <w:b w:val="0"/>
          <w:i w:val="0"/>
        </w:rPr>
        <w:t>P-12. Redação por decidir no art. 22.º (art. 22.º,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P-15. Quem encontra um animal passa a poder ser punido (art. 91.º, cap. X)</w:t>
      </w:r>
    </w:p>
    <w:p>
      <w:pPr>
        <w:spacing w:after="20"/>
        <w:ind w:left="454"/>
      </w:pPr>
      <w:r>
        <w:rPr>
          <w:b w:val="0"/>
          <w:i w:val="0"/>
        </w:rPr>
        <w:t>P-37. Quem acolhe um animal errante pode ficar sem saída lícita (art. 94.º, cap. X)</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P-07. As portarias mantidas usam detentor no sentido antigo (art. 149.º, cap. XVI)</w:t>
      </w:r>
    </w:p>
    <w:p>
      <w:pPr>
        <w:pStyle w:val="Heading2"/>
      </w:pPr>
      <w:r>
        <w:rPr>
          <w:i w:val="0"/>
          <w:color w:val="000000"/>
        </w:rPr>
        <w:t>CED, colónias e animais errantes (20)</w:t>
      </w:r>
    </w:p>
    <w:p>
      <w:pPr>
        <w:spacing w:after="20"/>
        <w:ind w:left="454"/>
      </w:pPr>
      <w:r>
        <w:rPr>
          <w:b w:val="0"/>
          <w:i w:val="0"/>
        </w:rPr>
        <w:t>P-38. A definição de animal errante passa a abranger qualquer animal não identificado (art. 3.º, cap. I)</w:t>
      </w:r>
    </w:p>
    <w:p>
      <w:pPr>
        <w:spacing w:after="20"/>
        <w:ind w:left="454"/>
      </w:pPr>
      <w:r>
        <w:rPr>
          <w:b w:val="0"/>
          <w:i w:val="0"/>
        </w:rPr>
        <w:t>P-30. Gatos de colónia em infração permanente (art. 60.º, cap. VI)</w:t>
      </w:r>
    </w:p>
    <w:p>
      <w:pPr>
        <w:spacing w:after="20"/>
        <w:ind w:left="454"/>
      </w:pPr>
      <w:r>
        <w:rPr>
          <w:b w:val="0"/>
          <w:i w:val="0"/>
        </w:rPr>
        <w:t>P-21. Proibição nacional de alimentar animais na via pública (art. 84.º, cap. X)</w:t>
      </w:r>
    </w:p>
    <w:p>
      <w:pPr>
        <w:spacing w:after="20"/>
        <w:ind w:left="454"/>
      </w:pPr>
      <w:r>
        <w:rPr>
          <w:b w:val="0"/>
          <w:i w:val="0"/>
        </w:rPr>
        <w:t>P-35. Plano municipal de controlo de errantes sem conteúdo mínimo nem consequências (art. 85.º, cap. X)</w:t>
      </w:r>
    </w:p>
    <w:p>
      <w:pPr>
        <w:spacing w:after="20"/>
        <w:ind w:left="454"/>
      </w:pPr>
      <w:r>
        <w:rPr>
          <w:b w:val="0"/>
          <w:i w:val="0"/>
        </w:rPr>
        <w:t>P-19. O CED passa a ser só uma faculdade das câmaras (art. 86.º, cap. X)</w:t>
      </w:r>
    </w:p>
    <w:p>
      <w:pPr>
        <w:spacing w:after="20"/>
        <w:ind w:left="454"/>
      </w:pPr>
      <w:r>
        <w:rPr>
          <w:b w:val="0"/>
          <w:i w:val="0"/>
        </w:rPr>
        <w:t>P-20. O cuidador de colónia não existe no texto (art. 86.º, cap. X)</w:t>
      </w:r>
    </w:p>
    <w:p>
      <w:pPr>
        <w:spacing w:after="20"/>
        <w:ind w:left="454"/>
      </w:pPr>
      <w:r>
        <w:rPr>
          <w:b w:val="0"/>
          <w:i w:val="0"/>
        </w:rPr>
        <w:t>P-23. Passagem obrigatória pelo CRO antes de o gato entrar na colónia (art. 86.º, cap. X)</w:t>
      </w:r>
    </w:p>
    <w:p>
      <w:pPr>
        <w:spacing w:after="20"/>
        <w:ind w:left="454"/>
      </w:pPr>
      <w:r>
        <w:rPr>
          <w:b w:val="0"/>
          <w:i w:val="0"/>
        </w:rPr>
        <w:t>P-24. Exclusão dos cães do CED (art. 86.º, cap. X)</w:t>
      </w:r>
    </w:p>
    <w:p>
      <w:pPr>
        <w:spacing w:after="20"/>
        <w:ind w:left="454"/>
      </w:pPr>
      <w:r>
        <w:rPr>
          <w:b w:val="0"/>
          <w:i w:val="0"/>
        </w:rPr>
        <w:t>P-25. Remissões e numeração erradas no artigo do CED (art. 86.º, cap. X)</w:t>
      </w:r>
    </w:p>
    <w:p>
      <w:pPr>
        <w:spacing w:after="20"/>
        <w:ind w:left="454"/>
      </w:pPr>
      <w:r>
        <w:rPr>
          <w:b w:val="0"/>
          <w:i w:val="0"/>
        </w:rPr>
        <w:t>P-26. Entidade promotora, entidade responsável e titular: quem responde pela colónia (art. 86.º, cap. X)</w:t>
      </w:r>
    </w:p>
    <w:p>
      <w:pPr>
        <w:spacing w:after="20"/>
        <w:ind w:left="454"/>
      </w:pPr>
      <w:r>
        <w:rPr>
          <w:b w:val="0"/>
          <w:i w:val="0"/>
        </w:rPr>
        <w:t>P-27. Registo da colónia no SIAC sem conteúdo definido (art. 86.º, cap. X)</w:t>
      </w:r>
    </w:p>
    <w:p>
      <w:pPr>
        <w:spacing w:after="20"/>
        <w:ind w:left="454"/>
      </w:pPr>
      <w:r>
        <w:rPr>
          <w:b w:val="0"/>
          <w:i w:val="0"/>
        </w:rPr>
        <w:t>P-29. CED e conservação da natureza (art. 86.º, cap. X)</w:t>
      </w:r>
    </w:p>
    <w:p>
      <w:pPr>
        <w:spacing w:after="20"/>
        <w:ind w:left="454"/>
      </w:pPr>
      <w:r>
        <w:rPr>
          <w:b w:val="0"/>
          <w:i w:val="0"/>
        </w:rPr>
        <w:t>P-31. Crias e gatos sociáveis: retirar ou devolver (art. 86.º, cap. X)</w:t>
      </w:r>
    </w:p>
    <w:p>
      <w:pPr>
        <w:spacing w:after="20"/>
        <w:ind w:left="454"/>
      </w:pPr>
      <w:r>
        <w:rPr>
          <w:b w:val="0"/>
          <w:i w:val="0"/>
        </w:rPr>
        <w:t>P-32. Suspensão do programa e recolha dos gatos sem garantias (art. 86.º, cap. X)</w:t>
      </w:r>
    </w:p>
    <w:p>
      <w:pPr>
        <w:spacing w:after="20"/>
        <w:ind w:left="454"/>
      </w:pPr>
      <w:r>
        <w:rPr>
          <w:b w:val="0"/>
          <w:i w:val="0"/>
        </w:rPr>
        <w:t>P-33. Meios: médicos veterinários municipais e financiamento (art. 86.º, cap. X)</w:t>
      </w:r>
    </w:p>
    <w:p>
      <w:pPr>
        <w:spacing w:after="20"/>
        <w:ind w:left="454"/>
      </w:pPr>
      <w:r>
        <w:rPr>
          <w:b w:val="0"/>
          <w:i w:val="0"/>
        </w:rPr>
        <w:t>P-34. Conflito com vizinhos e dimensão da colónia (art. 86.º, cap. X)</w:t>
      </w:r>
    </w:p>
    <w:p>
      <w:pPr>
        <w:spacing w:after="20"/>
        <w:ind w:left="454"/>
      </w:pPr>
      <w:r>
        <w:rPr>
          <w:b w:val="0"/>
          <w:i w:val="0"/>
        </w:rPr>
        <w:t>P-28. Colónias em prédios privados (art. 87.º, cap. X)</w:t>
      </w:r>
    </w:p>
    <w:p>
      <w:pPr>
        <w:spacing w:after="20"/>
        <w:ind w:left="454"/>
      </w:pPr>
      <w:r>
        <w:rPr>
          <w:b w:val="0"/>
          <w:i w:val="0"/>
        </w:rPr>
        <w:t>P-22. Só as câmaras podem capturar, mas o CED pode ser gerido por outras entidades (art. 91.º, cap. X)</w:t>
      </w:r>
    </w:p>
    <w:p>
      <w:pPr>
        <w:spacing w:after="20"/>
        <w:ind w:left="454"/>
      </w:pPr>
      <w:r>
        <w:rPr>
          <w:b w:val="0"/>
          <w:i w:val="0"/>
        </w:rPr>
        <w:t>P-39. A Lei 75/2013 ainda atribui às câmaras o abate de canídeos e gatídeos (art. 91.º, cap. X)</w:t>
      </w:r>
    </w:p>
    <w:p>
      <w:pPr>
        <w:spacing w:after="20"/>
        <w:ind w:left="454"/>
      </w:pPr>
      <w:r>
        <w:rPr>
          <w:b w:val="0"/>
          <w:i w:val="0"/>
        </w:rPr>
        <w:t>P-37. Quem acolhe um animal errante pode ficar sem saída lícita (art. 94.º, cap. X)</w:t>
      </w:r>
    </w:p>
    <w:p>
      <w:pPr>
        <w:pStyle w:val="Heading2"/>
      </w:pPr>
      <w:r>
        <w:rPr>
          <w:i w:val="0"/>
          <w:color w:val="000000"/>
        </w:rPr>
        <w:t>Identificação e registo (7)</w:t>
      </w:r>
    </w:p>
    <w:p>
      <w:pPr>
        <w:spacing w:after="20"/>
        <w:ind w:left="454"/>
      </w:pPr>
      <w:r>
        <w:rPr>
          <w:b w:val="0"/>
          <w:i w:val="0"/>
        </w:rPr>
        <w:t>P-41. Duas normas diferentes sobre que espécies são animais de companhia (art. 2.º, cap. I)</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pStyle w:val="Heading2"/>
      </w:pPr>
      <w:r>
        <w:rPr>
          <w:i w:val="0"/>
          <w:color w:val="000000"/>
        </w:rPr>
        <w:t>Estabelecimentos e operadores (2)</w:t>
      </w:r>
    </w:p>
    <w:p>
      <w:pPr>
        <w:spacing w:after="20"/>
        <w:ind w:left="454"/>
      </w:pPr>
      <w:r>
        <w:rPr>
          <w:b w:val="0"/>
          <w:i w:val="0"/>
        </w:rPr>
        <w:t>P-12. Redação por decidir no art. 22.º (art. 22.º, cap. IV)</w:t>
      </w:r>
    </w:p>
    <w:p>
      <w:pPr>
        <w:spacing w:after="20"/>
        <w:ind w:left="454"/>
      </w:pPr>
      <w:r>
        <w:rPr>
          <w:b w:val="0"/>
          <w:i w:val="0"/>
        </w:rPr>
        <w:t>P-42. Os deveres dos CRO e o relatório anual ficam sem coima (art. 140.º, cap. XV)</w:t>
      </w:r>
    </w:p>
    <w:p>
      <w:pPr>
        <w:pStyle w:val="Heading2"/>
      </w:pPr>
      <w:r>
        <w:rPr>
          <w:i w:val="0"/>
          <w:color w:val="000000"/>
        </w:rPr>
        <w:t>Fiscalização e contraordenações (4)</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P-42. Os deveres dos CRO e o relatório anual ficam sem coima (art. 140.º, cap. XV)</w:t>
      </w:r>
    </w:p>
    <w:p>
      <w:pPr>
        <w:spacing w:after="20"/>
        <w:ind w:left="454"/>
      </w:pPr>
      <w:r>
        <w:rPr>
          <w:b w:val="0"/>
          <w:i w:val="0"/>
        </w:rPr>
        <w:t>P-43. A revogação total da Lei 92/95 apaga normas que não tratam de animais de companhia (art. 149.º, cap. XVI)</w:t>
      </w:r>
    </w:p>
    <w:p>
      <w:pPr>
        <w:pStyle w:val="Heading2"/>
      </w:pPr>
      <w:r>
        <w:rPr>
          <w:i w:val="0"/>
          <w:color w:val="000000"/>
        </w:rPr>
        <w:t>Disposições finais e revogações (3)</w:t>
      </w:r>
    </w:p>
    <w:p>
      <w:pPr>
        <w:spacing w:after="20"/>
        <w:ind w:left="454"/>
      </w:pPr>
      <w:r>
        <w:rPr>
          <w:b w:val="0"/>
          <w:i w:val="0"/>
        </w:rPr>
        <w:t>P-07. As portarias mantidas usam detentor no sentido antigo (art. 149.º, cap. XVI)</w:t>
      </w:r>
    </w:p>
    <w:p>
      <w:pPr>
        <w:spacing w:after="20"/>
        <w:ind w:left="454"/>
      </w:pPr>
      <w:r>
        <w:rPr>
          <w:b w:val="0"/>
          <w:i w:val="0"/>
        </w:rPr>
        <w:t>P-43. A revogação total da Lei 92/95 apaga normas que não tratam de animais de companhia (art. 149.º, cap. XVI)</w:t>
      </w:r>
    </w:p>
    <w:p>
      <w:pPr>
        <w:spacing w:after="20"/>
        <w:ind w:left="454"/>
      </w:pPr>
      <w:r>
        <w:rPr>
          <w:b w:val="0"/>
          <w:i w:val="0"/>
        </w:rPr>
        <w:t>P-44. O DL 74/2007 é ressalvado e revogado ao mesmo tempo (art. 149.º, cap. XVI)</w:t>
      </w:r>
    </w:p>
    <w:p>
      <w:pPr>
        <w:pStyle w:val="Heading2"/>
      </w:pPr>
      <w:r>
        <w:rPr>
          <w:i w:val="0"/>
          <w:color w:val="000000"/>
        </w:rPr>
        <w:t>Bem-estar e deveres de detenção (2)</w:t>
      </w:r>
    </w:p>
    <w:p>
      <w:pPr>
        <w:spacing w:after="20"/>
        <w:ind w:left="454"/>
      </w:pPr>
      <w:r>
        <w:rPr>
          <w:b w:val="0"/>
          <w:i w:val="0"/>
        </w:rPr>
        <w:t>P-40. A amarração no domicílio fica sem duração máxima nem requisitos verificáveis (art. 19.º, cap. II)</w:t>
      </w:r>
    </w:p>
    <w:p>
      <w:pPr>
        <w:spacing w:after="20"/>
        <w:ind w:left="454"/>
      </w:pPr>
      <w:r>
        <w:rPr>
          <w:b w:val="0"/>
          <w:i w:val="0"/>
        </w:rPr>
        <w:t>P-43. A revogação total da Lei 92/95 apaga normas que não tratam de animais de companhia (art. 149.º, cap. XVI)</w:t>
      </w:r>
    </w:p>
    <w:p>
      <w:r>
        <w:br w:type="page"/>
      </w:r>
    </w:p>
    <w:p>
      <w:pPr>
        <w:pStyle w:val="Heading1"/>
      </w:pPr>
      <w:r>
        <w:rPr>
          <w:i w:val="0"/>
          <w:color w:val="000000"/>
        </w:rPr>
        <w:t>Anexo F. Correspondência com os códigos da versão 1.x</w:t>
      </w:r>
    </w:p>
    <w:p>
      <w:r>
        <w:rPr>
          <w:b w:val="0"/>
          <w:i w:val="0"/>
        </w:rPr>
        <w:t>As versões 1 a 1.7 do memorando usavam códigos por tema (T para titularidade, C para CED). A partir da versão 2.0 cada ficha tem um código permanente P.</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417"/>
        <w:gridCol w:w="1417"/>
        <w:gridCol w:w="6236"/>
      </w:tblGrid>
      <w:tr>
        <w:trPr>
          <w:tblHeader w:val="true"/>
        </w:trPr>
        <w:tc>
          <w:tcPr>
            <w:tcW w:w="1417" w:type="dxa"/>
          </w:tcPr>
          <w:p>
            <w:pPr>
              <w:spacing w:after="60"/>
            </w:pPr>
            <w:r/>
            <w:r>
              <w:rPr>
                <w:b/>
                <w:sz w:val="20"/>
              </w:rPr>
              <w:t>Código 1.x</w:t>
            </w:r>
          </w:p>
        </w:tc>
        <w:tc>
          <w:tcPr>
            <w:tcW w:w="1417" w:type="dxa"/>
          </w:tcPr>
          <w:p>
            <w:pPr>
              <w:spacing w:after="60"/>
            </w:pPr>
            <w:r/>
            <w:r>
              <w:rPr>
                <w:b/>
                <w:sz w:val="20"/>
              </w:rPr>
              <w:t>Código 2.0</w:t>
            </w:r>
          </w:p>
        </w:tc>
        <w:tc>
          <w:tcPr>
            <w:tcW w:w="6236" w:type="dxa"/>
          </w:tcPr>
          <w:p>
            <w:pPr>
              <w:spacing w:after="60"/>
            </w:pPr>
            <w:r/>
            <w:r>
              <w:rPr>
                <w:b/>
                <w:sz w:val="20"/>
              </w:rPr>
              <w:t>Assunto</w:t>
            </w:r>
          </w:p>
        </w:tc>
      </w:tr>
      <w:tr>
        <w:tc>
          <w:tcPr>
            <w:tcW w:w="1417" w:type="dxa"/>
          </w:tcPr>
          <w:p>
            <w:pPr>
              <w:spacing w:after="60"/>
            </w:pPr>
            <w:r/>
            <w:r>
              <w:rPr>
                <w:b w:val="0"/>
                <w:sz w:val="20"/>
              </w:rPr>
              <w:t>T-01</w:t>
            </w:r>
          </w:p>
        </w:tc>
        <w:tc>
          <w:tcPr>
            <w:tcW w:w="1417" w:type="dxa"/>
          </w:tcPr>
          <w:p>
            <w:pPr>
              <w:spacing w:after="60"/>
            </w:pPr>
            <w:r/>
            <w:r>
              <w:rPr>
                <w:b w:val="0"/>
                <w:sz w:val="20"/>
              </w:rPr>
              <w:t>P-01</w:t>
            </w:r>
          </w:p>
        </w:tc>
        <w:tc>
          <w:tcPr>
            <w:tcW w:w="6236" w:type="dxa"/>
          </w:tcPr>
          <w:p>
            <w:pPr>
              <w:spacing w:after="60"/>
            </w:pPr>
            <w:r/>
            <w:r>
              <w:rPr>
                <w:b w:val="0"/>
                <w:sz w:val="20"/>
              </w:rPr>
              <w:t>A definição de titular depende só do registo</w:t>
            </w:r>
          </w:p>
        </w:tc>
      </w:tr>
      <w:tr>
        <w:tc>
          <w:tcPr>
            <w:tcW w:w="1417" w:type="dxa"/>
          </w:tcPr>
          <w:p>
            <w:pPr>
              <w:spacing w:after="60"/>
            </w:pPr>
            <w:r/>
            <w:r>
              <w:rPr>
                <w:b w:val="0"/>
                <w:sz w:val="20"/>
              </w:rPr>
              <w:t>T-02</w:t>
            </w:r>
          </w:p>
        </w:tc>
        <w:tc>
          <w:tcPr>
            <w:tcW w:w="1417" w:type="dxa"/>
          </w:tcPr>
          <w:p>
            <w:pPr>
              <w:spacing w:after="60"/>
            </w:pPr>
            <w:r/>
            <w:r>
              <w:rPr>
                <w:b w:val="0"/>
                <w:sz w:val="20"/>
              </w:rPr>
              <w:t>P-02</w:t>
            </w:r>
          </w:p>
        </w:tc>
        <w:tc>
          <w:tcPr>
            <w:tcW w:w="6236" w:type="dxa"/>
          </w:tcPr>
          <w:p>
            <w:pPr>
              <w:spacing w:after="60"/>
            </w:pPr>
            <w:r/>
            <w:r>
              <w:rPr>
                <w:b w:val="0"/>
                <w:sz w:val="20"/>
              </w:rPr>
              <w:t>Registo em nome de quem detém o animal e não de quem é dono</w:t>
            </w:r>
          </w:p>
        </w:tc>
      </w:tr>
      <w:tr>
        <w:tc>
          <w:tcPr>
            <w:tcW w:w="1417" w:type="dxa"/>
          </w:tcPr>
          <w:p>
            <w:pPr>
              <w:spacing w:after="60"/>
            </w:pPr>
            <w:r/>
            <w:r>
              <w:rPr>
                <w:b w:val="0"/>
                <w:sz w:val="20"/>
              </w:rPr>
              <w:t>T-03</w:t>
            </w:r>
          </w:p>
        </w:tc>
        <w:tc>
          <w:tcPr>
            <w:tcW w:w="1417" w:type="dxa"/>
          </w:tcPr>
          <w:p>
            <w:pPr>
              <w:spacing w:after="60"/>
            </w:pPr>
            <w:r/>
            <w:r>
              <w:rPr>
                <w:b w:val="0"/>
                <w:sz w:val="20"/>
              </w:rPr>
              <w:t>P-03</w:t>
            </w:r>
          </w:p>
        </w:tc>
        <w:tc>
          <w:tcPr>
            <w:tcW w:w="6236" w:type="dxa"/>
          </w:tcPr>
          <w:p>
            <w:pPr>
              <w:spacing w:after="60"/>
            </w:pPr>
            <w:r/>
            <w:r>
              <w:rPr>
                <w:b w:val="0"/>
                <w:sz w:val="20"/>
              </w:rPr>
              <w:t>Sem regra sobre o valor do registo SIAC face à propriedade</w:t>
            </w:r>
          </w:p>
        </w:tc>
      </w:tr>
      <w:tr>
        <w:tc>
          <w:tcPr>
            <w:tcW w:w="1417" w:type="dxa"/>
          </w:tcPr>
          <w:p>
            <w:pPr>
              <w:spacing w:after="60"/>
            </w:pPr>
            <w:r/>
            <w:r>
              <w:rPr>
                <w:b w:val="0"/>
                <w:sz w:val="20"/>
              </w:rPr>
              <w:t>T-04</w:t>
            </w:r>
          </w:p>
        </w:tc>
        <w:tc>
          <w:tcPr>
            <w:tcW w:w="1417" w:type="dxa"/>
          </w:tcPr>
          <w:p>
            <w:pPr>
              <w:spacing w:after="60"/>
            </w:pPr>
            <w:r/>
            <w:r>
              <w:rPr>
                <w:b w:val="0"/>
                <w:sz w:val="20"/>
              </w:rPr>
              <w:t>P-04</w:t>
            </w:r>
          </w:p>
        </w:tc>
        <w:tc>
          <w:tcPr>
            <w:tcW w:w="6236" w:type="dxa"/>
          </w:tcPr>
          <w:p>
            <w:pPr>
              <w:spacing w:after="60"/>
            </w:pPr>
            <w:r/>
            <w:r>
              <w:rPr>
                <w:b w:val="0"/>
                <w:sz w:val="20"/>
              </w:rPr>
              <w:t>O detentor deixa de ter de comunicar a morte do animal</w:t>
            </w:r>
          </w:p>
        </w:tc>
      </w:tr>
      <w:tr>
        <w:tc>
          <w:tcPr>
            <w:tcW w:w="1417" w:type="dxa"/>
          </w:tcPr>
          <w:p>
            <w:pPr>
              <w:spacing w:after="60"/>
            </w:pPr>
            <w:r/>
            <w:r>
              <w:rPr>
                <w:b w:val="0"/>
                <w:sz w:val="20"/>
              </w:rPr>
              <w:t>T-05</w:t>
            </w:r>
          </w:p>
        </w:tc>
        <w:tc>
          <w:tcPr>
            <w:tcW w:w="1417" w:type="dxa"/>
          </w:tcPr>
          <w:p>
            <w:pPr>
              <w:spacing w:after="60"/>
            </w:pPr>
            <w:r/>
            <w:r>
              <w:rPr>
                <w:b w:val="0"/>
                <w:sz w:val="20"/>
              </w:rPr>
              <w:t>P-05</w:t>
            </w:r>
          </w:p>
        </w:tc>
        <w:tc>
          <w:tcPr>
            <w:tcW w:w="6236" w:type="dxa"/>
          </w:tcPr>
          <w:p>
            <w:pPr>
              <w:spacing w:after="60"/>
            </w:pPr>
            <w:r/>
            <w:r>
              <w:rPr>
                <w:b w:val="0"/>
                <w:sz w:val="20"/>
              </w:rPr>
              <w:t>A presunção de abandono remete para normas erradas e não diz a quem se aplica</w:t>
            </w:r>
          </w:p>
        </w:tc>
      </w:tr>
      <w:tr>
        <w:tc>
          <w:tcPr>
            <w:tcW w:w="1417" w:type="dxa"/>
          </w:tcPr>
          <w:p>
            <w:pPr>
              <w:spacing w:after="60"/>
            </w:pPr>
            <w:r/>
            <w:r>
              <w:rPr>
                <w:b w:val="0"/>
                <w:sz w:val="20"/>
              </w:rPr>
              <w:t>T-06</w:t>
            </w:r>
          </w:p>
        </w:tc>
        <w:tc>
          <w:tcPr>
            <w:tcW w:w="1417" w:type="dxa"/>
          </w:tcPr>
          <w:p>
            <w:pPr>
              <w:spacing w:after="60"/>
            </w:pPr>
            <w:r/>
            <w:r>
              <w:rPr>
                <w:b w:val="0"/>
                <w:sz w:val="20"/>
              </w:rPr>
              <w:t>P-06</w:t>
            </w:r>
          </w:p>
        </w:tc>
        <w:tc>
          <w:tcPr>
            <w:tcW w:w="6236" w:type="dxa"/>
          </w:tcPr>
          <w:p>
            <w:pPr>
              <w:spacing w:after="60"/>
            </w:pPr>
            <w:r/>
            <w:r>
              <w:rPr>
                <w:b w:val="0"/>
                <w:sz w:val="20"/>
              </w:rPr>
              <w:t>O abandono não aparece como contraordenação</w:t>
            </w:r>
          </w:p>
        </w:tc>
      </w:tr>
      <w:tr>
        <w:tc>
          <w:tcPr>
            <w:tcW w:w="1417" w:type="dxa"/>
          </w:tcPr>
          <w:p>
            <w:pPr>
              <w:spacing w:after="60"/>
            </w:pPr>
            <w:r/>
            <w:r>
              <w:rPr>
                <w:b w:val="0"/>
                <w:sz w:val="20"/>
              </w:rPr>
              <w:t>T-07</w:t>
            </w:r>
          </w:p>
        </w:tc>
        <w:tc>
          <w:tcPr>
            <w:tcW w:w="1417" w:type="dxa"/>
          </w:tcPr>
          <w:p>
            <w:pPr>
              <w:spacing w:after="60"/>
            </w:pPr>
            <w:r/>
            <w:r>
              <w:rPr>
                <w:b w:val="0"/>
                <w:sz w:val="20"/>
              </w:rPr>
              <w:t>P-07</w:t>
            </w:r>
          </w:p>
        </w:tc>
        <w:tc>
          <w:tcPr>
            <w:tcW w:w="6236" w:type="dxa"/>
          </w:tcPr>
          <w:p>
            <w:pPr>
              <w:spacing w:after="60"/>
            </w:pPr>
            <w:r/>
            <w:r>
              <w:rPr>
                <w:b w:val="0"/>
                <w:sz w:val="20"/>
              </w:rPr>
              <w:t>As portarias mantidas usam detentor no sentido antigo</w:t>
            </w:r>
          </w:p>
        </w:tc>
      </w:tr>
      <w:tr>
        <w:tc>
          <w:tcPr>
            <w:tcW w:w="1417" w:type="dxa"/>
          </w:tcPr>
          <w:p>
            <w:pPr>
              <w:spacing w:after="60"/>
            </w:pPr>
            <w:r/>
            <w:r>
              <w:rPr>
                <w:b w:val="0"/>
                <w:sz w:val="20"/>
              </w:rPr>
              <w:t>T-08</w:t>
            </w:r>
          </w:p>
        </w:tc>
        <w:tc>
          <w:tcPr>
            <w:tcW w:w="1417" w:type="dxa"/>
          </w:tcPr>
          <w:p>
            <w:pPr>
              <w:spacing w:after="60"/>
            </w:pPr>
            <w:r/>
            <w:r>
              <w:rPr>
                <w:b w:val="0"/>
                <w:sz w:val="20"/>
              </w:rPr>
              <w:t>P-08</w:t>
            </w:r>
          </w:p>
        </w:tc>
        <w:tc>
          <w:tcPr>
            <w:tcW w:w="6236" w:type="dxa"/>
          </w:tcPr>
          <w:p>
            <w:pPr>
              <w:spacing w:after="60"/>
            </w:pPr>
            <w:r/>
            <w:r>
              <w:rPr>
                <w:b w:val="0"/>
                <w:sz w:val="20"/>
              </w:rPr>
              <w:t>Animais perigosos: o operador pode ser uma sociedade, o titular não</w:t>
            </w:r>
          </w:p>
        </w:tc>
      </w:tr>
      <w:tr>
        <w:tc>
          <w:tcPr>
            <w:tcW w:w="1417" w:type="dxa"/>
          </w:tcPr>
          <w:p>
            <w:pPr>
              <w:spacing w:after="60"/>
            </w:pPr>
            <w:r/>
            <w:r>
              <w:rPr>
                <w:b w:val="0"/>
                <w:sz w:val="20"/>
              </w:rPr>
              <w:t>T-09</w:t>
            </w:r>
          </w:p>
        </w:tc>
        <w:tc>
          <w:tcPr>
            <w:tcW w:w="1417" w:type="dxa"/>
          </w:tcPr>
          <w:p>
            <w:pPr>
              <w:spacing w:after="60"/>
            </w:pPr>
            <w:r/>
            <w:r>
              <w:rPr>
                <w:b w:val="0"/>
                <w:sz w:val="20"/>
              </w:rPr>
              <w:t>P-09</w:t>
            </w:r>
          </w:p>
        </w:tc>
        <w:tc>
          <w:tcPr>
            <w:tcW w:w="6236" w:type="dxa"/>
          </w:tcPr>
          <w:p>
            <w:pPr>
              <w:spacing w:after="60"/>
            </w:pPr>
            <w:r/>
            <w:r>
              <w:rPr>
                <w:b w:val="0"/>
                <w:sz w:val="20"/>
              </w:rPr>
              <w:t>«Titular ou operador» quando o operador já é titular</w:t>
            </w:r>
          </w:p>
        </w:tc>
      </w:tr>
      <w:tr>
        <w:tc>
          <w:tcPr>
            <w:tcW w:w="1417" w:type="dxa"/>
          </w:tcPr>
          <w:p>
            <w:pPr>
              <w:spacing w:after="60"/>
            </w:pPr>
            <w:r/>
            <w:r>
              <w:rPr>
                <w:b w:val="0"/>
                <w:sz w:val="20"/>
              </w:rPr>
              <w:t>T-10</w:t>
            </w:r>
          </w:p>
        </w:tc>
        <w:tc>
          <w:tcPr>
            <w:tcW w:w="1417" w:type="dxa"/>
          </w:tcPr>
          <w:p>
            <w:pPr>
              <w:spacing w:after="60"/>
            </w:pPr>
            <w:r/>
            <w:r>
              <w:rPr>
                <w:b w:val="0"/>
                <w:sz w:val="20"/>
              </w:rPr>
              <w:t>P-10</w:t>
            </w:r>
          </w:p>
        </w:tc>
        <w:tc>
          <w:tcPr>
            <w:tcW w:w="6236" w:type="dxa"/>
          </w:tcPr>
          <w:p>
            <w:pPr>
              <w:spacing w:after="60"/>
            </w:pPr>
            <w:r/>
            <w:r>
              <w:rPr>
                <w:b w:val="0"/>
                <w:sz w:val="20"/>
              </w:rPr>
              <w:t>Terminologia do CRO ainda não uniforme</w:t>
            </w:r>
          </w:p>
        </w:tc>
      </w:tr>
      <w:tr>
        <w:tc>
          <w:tcPr>
            <w:tcW w:w="1417" w:type="dxa"/>
          </w:tcPr>
          <w:p>
            <w:pPr>
              <w:spacing w:after="60"/>
            </w:pPr>
            <w:r/>
            <w:r>
              <w:rPr>
                <w:b w:val="0"/>
                <w:sz w:val="20"/>
              </w:rPr>
              <w:t>T-11</w:t>
            </w:r>
          </w:p>
        </w:tc>
        <w:tc>
          <w:tcPr>
            <w:tcW w:w="1417" w:type="dxa"/>
          </w:tcPr>
          <w:p>
            <w:pPr>
              <w:spacing w:after="60"/>
            </w:pPr>
            <w:r/>
            <w:r>
              <w:rPr>
                <w:b w:val="0"/>
                <w:sz w:val="20"/>
              </w:rPr>
              <w:t>P-11</w:t>
            </w:r>
          </w:p>
        </w:tc>
        <w:tc>
          <w:tcPr>
            <w:tcW w:w="6236" w:type="dxa"/>
          </w:tcPr>
          <w:p>
            <w:pPr>
              <w:spacing w:after="60"/>
            </w:pPr>
            <w:r/>
            <w:r>
              <w:rPr>
                <w:b w:val="0"/>
                <w:sz w:val="20"/>
              </w:rPr>
              <w:t>Contraordenação dirigida só aos detentores</w:t>
            </w:r>
          </w:p>
        </w:tc>
      </w:tr>
      <w:tr>
        <w:tc>
          <w:tcPr>
            <w:tcW w:w="1417" w:type="dxa"/>
          </w:tcPr>
          <w:p>
            <w:pPr>
              <w:spacing w:after="60"/>
            </w:pPr>
            <w:r/>
            <w:r>
              <w:rPr>
                <w:b w:val="0"/>
                <w:sz w:val="20"/>
              </w:rPr>
              <w:t>T-12</w:t>
            </w:r>
          </w:p>
        </w:tc>
        <w:tc>
          <w:tcPr>
            <w:tcW w:w="1417" w:type="dxa"/>
          </w:tcPr>
          <w:p>
            <w:pPr>
              <w:spacing w:after="60"/>
            </w:pPr>
            <w:r/>
            <w:r>
              <w:rPr>
                <w:b w:val="0"/>
                <w:sz w:val="20"/>
              </w:rPr>
              <w:t>P-12</w:t>
            </w:r>
          </w:p>
        </w:tc>
        <w:tc>
          <w:tcPr>
            <w:tcW w:w="6236" w:type="dxa"/>
          </w:tcPr>
          <w:p>
            <w:pPr>
              <w:spacing w:after="60"/>
            </w:pPr>
            <w:r/>
            <w:r>
              <w:rPr>
                <w:b w:val="0"/>
                <w:sz w:val="20"/>
              </w:rPr>
              <w:t>Redação por decidir no art. 22.º</w:t>
            </w:r>
          </w:p>
        </w:tc>
      </w:tr>
      <w:tr>
        <w:tc>
          <w:tcPr>
            <w:tcW w:w="1417" w:type="dxa"/>
          </w:tcPr>
          <w:p>
            <w:pPr>
              <w:spacing w:after="60"/>
            </w:pPr>
            <w:r/>
            <w:r>
              <w:rPr>
                <w:b w:val="0"/>
                <w:sz w:val="20"/>
              </w:rPr>
              <w:t>T-13</w:t>
            </w:r>
          </w:p>
        </w:tc>
        <w:tc>
          <w:tcPr>
            <w:tcW w:w="1417" w:type="dxa"/>
          </w:tcPr>
          <w:p>
            <w:pPr>
              <w:spacing w:after="60"/>
            </w:pPr>
            <w:r/>
            <w:r>
              <w:rPr>
                <w:b w:val="0"/>
                <w:sz w:val="20"/>
              </w:rPr>
              <w:t>P-13</w:t>
            </w:r>
          </w:p>
        </w:tc>
        <w:tc>
          <w:tcPr>
            <w:tcW w:w="6236" w:type="dxa"/>
          </w:tcPr>
          <w:p>
            <w:pPr>
              <w:spacing w:after="60"/>
            </w:pPr>
            <w:r/>
            <w:r>
              <w:rPr>
                <w:b w:val="0"/>
                <w:sz w:val="20"/>
              </w:rPr>
              <w:t>Quem responde pelos danos causados pelo animal</w:t>
            </w:r>
          </w:p>
        </w:tc>
      </w:tr>
      <w:tr>
        <w:tc>
          <w:tcPr>
            <w:tcW w:w="1417" w:type="dxa"/>
          </w:tcPr>
          <w:p>
            <w:pPr>
              <w:spacing w:after="60"/>
            </w:pPr>
            <w:r/>
            <w:r>
              <w:rPr>
                <w:b w:val="0"/>
                <w:sz w:val="20"/>
              </w:rPr>
              <w:t>T-14</w:t>
            </w:r>
          </w:p>
        </w:tc>
        <w:tc>
          <w:tcPr>
            <w:tcW w:w="1417" w:type="dxa"/>
          </w:tcPr>
          <w:p>
            <w:pPr>
              <w:spacing w:after="60"/>
            </w:pPr>
            <w:r/>
            <w:r>
              <w:rPr>
                <w:b w:val="0"/>
                <w:sz w:val="20"/>
              </w:rPr>
              <w:t>P-14</w:t>
            </w:r>
          </w:p>
        </w:tc>
        <w:tc>
          <w:tcPr>
            <w:tcW w:w="6236" w:type="dxa"/>
          </w:tcPr>
          <w:p>
            <w:pPr>
              <w:spacing w:after="60"/>
            </w:pPr>
            <w:r/>
            <w:r>
              <w:rPr>
                <w:b w:val="0"/>
                <w:sz w:val="20"/>
              </w:rPr>
              <w:t>Família de acolhimento sem operador fica sem enquadramento</w:t>
            </w:r>
          </w:p>
        </w:tc>
      </w:tr>
      <w:tr>
        <w:tc>
          <w:tcPr>
            <w:tcW w:w="1417" w:type="dxa"/>
          </w:tcPr>
          <w:p>
            <w:pPr>
              <w:spacing w:after="60"/>
            </w:pPr>
            <w:r/>
            <w:r>
              <w:rPr>
                <w:b w:val="0"/>
                <w:sz w:val="20"/>
              </w:rPr>
              <w:t>T-15</w:t>
            </w:r>
          </w:p>
        </w:tc>
        <w:tc>
          <w:tcPr>
            <w:tcW w:w="1417" w:type="dxa"/>
          </w:tcPr>
          <w:p>
            <w:pPr>
              <w:spacing w:after="60"/>
            </w:pPr>
            <w:r/>
            <w:r>
              <w:rPr>
                <w:b w:val="0"/>
                <w:sz w:val="20"/>
              </w:rPr>
              <w:t>P-15</w:t>
            </w:r>
          </w:p>
        </w:tc>
        <w:tc>
          <w:tcPr>
            <w:tcW w:w="6236" w:type="dxa"/>
          </w:tcPr>
          <w:p>
            <w:pPr>
              <w:spacing w:after="60"/>
            </w:pPr>
            <w:r/>
            <w:r>
              <w:rPr>
                <w:b w:val="0"/>
                <w:sz w:val="20"/>
              </w:rPr>
              <w:t>Quem encontra um animal passa a poder ser punido</w:t>
            </w:r>
          </w:p>
        </w:tc>
      </w:tr>
      <w:tr>
        <w:tc>
          <w:tcPr>
            <w:tcW w:w="1417" w:type="dxa"/>
          </w:tcPr>
          <w:p>
            <w:pPr>
              <w:spacing w:after="60"/>
            </w:pPr>
            <w:r/>
            <w:r>
              <w:rPr>
                <w:b w:val="0"/>
                <w:sz w:val="20"/>
              </w:rPr>
              <w:t>T-16</w:t>
            </w:r>
          </w:p>
        </w:tc>
        <w:tc>
          <w:tcPr>
            <w:tcW w:w="1417" w:type="dxa"/>
          </w:tcPr>
          <w:p>
            <w:pPr>
              <w:spacing w:after="60"/>
            </w:pPr>
            <w:r/>
            <w:r>
              <w:rPr>
                <w:b w:val="0"/>
                <w:sz w:val="20"/>
              </w:rPr>
              <w:t>P-16</w:t>
            </w:r>
          </w:p>
        </w:tc>
        <w:tc>
          <w:tcPr>
            <w:tcW w:w="6236" w:type="dxa"/>
          </w:tcPr>
          <w:p>
            <w:pPr>
              <w:spacing w:after="60"/>
            </w:pPr>
            <w:r/>
            <w:r>
              <w:rPr>
                <w:b w:val="0"/>
                <w:sz w:val="20"/>
              </w:rPr>
              <w:t>Detentores de facto que dizem tratar de animais errantes</w:t>
            </w:r>
          </w:p>
        </w:tc>
      </w:tr>
      <w:tr>
        <w:tc>
          <w:tcPr>
            <w:tcW w:w="1417" w:type="dxa"/>
          </w:tcPr>
          <w:p>
            <w:pPr>
              <w:spacing w:after="60"/>
            </w:pPr>
            <w:r/>
            <w:r>
              <w:rPr>
                <w:b w:val="0"/>
                <w:sz w:val="20"/>
              </w:rPr>
              <w:t>T-17</w:t>
            </w:r>
          </w:p>
        </w:tc>
        <w:tc>
          <w:tcPr>
            <w:tcW w:w="1417" w:type="dxa"/>
          </w:tcPr>
          <w:p>
            <w:pPr>
              <w:spacing w:after="60"/>
            </w:pPr>
            <w:r/>
            <w:r>
              <w:rPr>
                <w:b w:val="0"/>
                <w:sz w:val="20"/>
              </w:rPr>
              <w:t>P-17</w:t>
            </w:r>
          </w:p>
        </w:tc>
        <w:tc>
          <w:tcPr>
            <w:tcW w:w="6236" w:type="dxa"/>
          </w:tcPr>
          <w:p>
            <w:pPr>
              <w:spacing w:after="60"/>
            </w:pPr>
            <w:r/>
            <w:r>
              <w:rPr>
                <w:b w:val="0"/>
                <w:sz w:val="20"/>
              </w:rPr>
              <w:t>Prazos de comunicação ao SIAC mais pesados do que o Regulamento europeu</w:t>
            </w:r>
          </w:p>
        </w:tc>
      </w:tr>
      <w:tr>
        <w:tc>
          <w:tcPr>
            <w:tcW w:w="1417" w:type="dxa"/>
          </w:tcPr>
          <w:p>
            <w:pPr>
              <w:spacing w:after="60"/>
            </w:pPr>
            <w:r/>
            <w:r>
              <w:rPr>
                <w:b w:val="0"/>
                <w:sz w:val="20"/>
              </w:rPr>
              <w:t>T-18</w:t>
            </w:r>
          </w:p>
        </w:tc>
        <w:tc>
          <w:tcPr>
            <w:tcW w:w="1417" w:type="dxa"/>
          </w:tcPr>
          <w:p>
            <w:pPr>
              <w:spacing w:after="60"/>
            </w:pPr>
            <w:r/>
            <w:r>
              <w:rPr>
                <w:b w:val="0"/>
                <w:sz w:val="20"/>
              </w:rPr>
              <w:t>P-18</w:t>
            </w:r>
          </w:p>
        </w:tc>
        <w:tc>
          <w:tcPr>
            <w:tcW w:w="6236" w:type="dxa"/>
          </w:tcPr>
          <w:p>
            <w:pPr>
              <w:spacing w:after="60"/>
            </w:pPr>
            <w:r/>
            <w:r>
              <w:rPr>
                <w:b w:val="0"/>
                <w:sz w:val="20"/>
              </w:rPr>
              <w:t>Animais deixados em centros veterinários</w:t>
            </w:r>
          </w:p>
        </w:tc>
      </w:tr>
      <w:tr>
        <w:tc>
          <w:tcPr>
            <w:tcW w:w="1417" w:type="dxa"/>
          </w:tcPr>
          <w:p>
            <w:pPr>
              <w:spacing w:after="60"/>
            </w:pPr>
            <w:r/>
            <w:r>
              <w:rPr>
                <w:b w:val="0"/>
                <w:sz w:val="20"/>
              </w:rPr>
              <w:t>T-19</w:t>
            </w:r>
          </w:p>
        </w:tc>
        <w:tc>
          <w:tcPr>
            <w:tcW w:w="1417" w:type="dxa"/>
          </w:tcPr>
          <w:p>
            <w:pPr>
              <w:spacing w:after="60"/>
            </w:pPr>
            <w:r/>
            <w:r>
              <w:rPr>
                <w:b w:val="0"/>
                <w:sz w:val="20"/>
              </w:rPr>
              <w:t>P-36</w:t>
            </w:r>
          </w:p>
        </w:tc>
        <w:tc>
          <w:tcPr>
            <w:tcW w:w="6236" w:type="dxa"/>
          </w:tcPr>
          <w:p>
            <w:pPr>
              <w:spacing w:after="60"/>
            </w:pPr>
            <w:r/>
            <w:r>
              <w:rPr>
                <w:b w:val="0"/>
                <w:sz w:val="20"/>
              </w:rPr>
              <w:t>Nada diz quem é titular quando o animal não tem proprietário</w:t>
            </w:r>
          </w:p>
        </w:tc>
      </w:tr>
      <w:tr>
        <w:tc>
          <w:tcPr>
            <w:tcW w:w="1417" w:type="dxa"/>
          </w:tcPr>
          <w:p>
            <w:pPr>
              <w:spacing w:after="60"/>
            </w:pPr>
            <w:r/>
            <w:r>
              <w:rPr>
                <w:b w:val="0"/>
                <w:sz w:val="20"/>
              </w:rPr>
              <w:t>C-01</w:t>
            </w:r>
          </w:p>
        </w:tc>
        <w:tc>
          <w:tcPr>
            <w:tcW w:w="1417" w:type="dxa"/>
          </w:tcPr>
          <w:p>
            <w:pPr>
              <w:spacing w:after="60"/>
            </w:pPr>
            <w:r/>
            <w:r>
              <w:rPr>
                <w:b w:val="0"/>
                <w:sz w:val="20"/>
              </w:rPr>
              <w:t>P-19</w:t>
            </w:r>
          </w:p>
        </w:tc>
        <w:tc>
          <w:tcPr>
            <w:tcW w:w="6236" w:type="dxa"/>
          </w:tcPr>
          <w:p>
            <w:pPr>
              <w:spacing w:after="60"/>
            </w:pPr>
            <w:r/>
            <w:r>
              <w:rPr>
                <w:b w:val="0"/>
                <w:sz w:val="20"/>
              </w:rPr>
              <w:t>O CED passa a ser só uma faculdade das câmaras</w:t>
            </w:r>
          </w:p>
        </w:tc>
      </w:tr>
      <w:tr>
        <w:tc>
          <w:tcPr>
            <w:tcW w:w="1417" w:type="dxa"/>
          </w:tcPr>
          <w:p>
            <w:pPr>
              <w:spacing w:after="60"/>
            </w:pPr>
            <w:r/>
            <w:r>
              <w:rPr>
                <w:b w:val="0"/>
                <w:sz w:val="20"/>
              </w:rPr>
              <w:t>C-02</w:t>
            </w:r>
          </w:p>
        </w:tc>
        <w:tc>
          <w:tcPr>
            <w:tcW w:w="1417" w:type="dxa"/>
          </w:tcPr>
          <w:p>
            <w:pPr>
              <w:spacing w:after="60"/>
            </w:pPr>
            <w:r/>
            <w:r>
              <w:rPr>
                <w:b w:val="0"/>
                <w:sz w:val="20"/>
              </w:rPr>
              <w:t>P-20</w:t>
            </w:r>
          </w:p>
        </w:tc>
        <w:tc>
          <w:tcPr>
            <w:tcW w:w="6236" w:type="dxa"/>
          </w:tcPr>
          <w:p>
            <w:pPr>
              <w:spacing w:after="60"/>
            </w:pPr>
            <w:r/>
            <w:r>
              <w:rPr>
                <w:b w:val="0"/>
                <w:sz w:val="20"/>
              </w:rPr>
              <w:t>O cuidador de colónia não existe no texto</w:t>
            </w:r>
          </w:p>
        </w:tc>
      </w:tr>
      <w:tr>
        <w:tc>
          <w:tcPr>
            <w:tcW w:w="1417" w:type="dxa"/>
          </w:tcPr>
          <w:p>
            <w:pPr>
              <w:spacing w:after="60"/>
            </w:pPr>
            <w:r/>
            <w:r>
              <w:rPr>
                <w:b w:val="0"/>
                <w:sz w:val="20"/>
              </w:rPr>
              <w:t>C-03</w:t>
            </w:r>
          </w:p>
        </w:tc>
        <w:tc>
          <w:tcPr>
            <w:tcW w:w="1417" w:type="dxa"/>
          </w:tcPr>
          <w:p>
            <w:pPr>
              <w:spacing w:after="60"/>
            </w:pPr>
            <w:r/>
            <w:r>
              <w:rPr>
                <w:b w:val="0"/>
                <w:sz w:val="20"/>
              </w:rPr>
              <w:t>P-21</w:t>
            </w:r>
          </w:p>
        </w:tc>
        <w:tc>
          <w:tcPr>
            <w:tcW w:w="6236" w:type="dxa"/>
          </w:tcPr>
          <w:p>
            <w:pPr>
              <w:spacing w:after="60"/>
            </w:pPr>
            <w:r/>
            <w:r>
              <w:rPr>
                <w:b w:val="0"/>
                <w:sz w:val="20"/>
              </w:rPr>
              <w:t>Proibição nacional de alimentar animais na via pública</w:t>
            </w:r>
          </w:p>
        </w:tc>
      </w:tr>
      <w:tr>
        <w:tc>
          <w:tcPr>
            <w:tcW w:w="1417" w:type="dxa"/>
          </w:tcPr>
          <w:p>
            <w:pPr>
              <w:spacing w:after="60"/>
            </w:pPr>
            <w:r/>
            <w:r>
              <w:rPr>
                <w:b w:val="0"/>
                <w:sz w:val="20"/>
              </w:rPr>
              <w:t>C-04</w:t>
            </w:r>
          </w:p>
        </w:tc>
        <w:tc>
          <w:tcPr>
            <w:tcW w:w="1417" w:type="dxa"/>
          </w:tcPr>
          <w:p>
            <w:pPr>
              <w:spacing w:after="60"/>
            </w:pPr>
            <w:r/>
            <w:r>
              <w:rPr>
                <w:b w:val="0"/>
                <w:sz w:val="20"/>
              </w:rPr>
              <w:t>P-22</w:t>
            </w:r>
          </w:p>
        </w:tc>
        <w:tc>
          <w:tcPr>
            <w:tcW w:w="6236" w:type="dxa"/>
          </w:tcPr>
          <w:p>
            <w:pPr>
              <w:spacing w:after="60"/>
            </w:pPr>
            <w:r/>
            <w:r>
              <w:rPr>
                <w:b w:val="0"/>
                <w:sz w:val="20"/>
              </w:rPr>
              <w:t>Só as câmaras podem capturar, mas o CED pode ser gerido por outras entidades</w:t>
            </w:r>
          </w:p>
        </w:tc>
      </w:tr>
      <w:tr>
        <w:tc>
          <w:tcPr>
            <w:tcW w:w="1417" w:type="dxa"/>
          </w:tcPr>
          <w:p>
            <w:pPr>
              <w:spacing w:after="60"/>
            </w:pPr>
            <w:r/>
            <w:r>
              <w:rPr>
                <w:b w:val="0"/>
                <w:sz w:val="20"/>
              </w:rPr>
              <w:t>C-05</w:t>
            </w:r>
          </w:p>
        </w:tc>
        <w:tc>
          <w:tcPr>
            <w:tcW w:w="1417" w:type="dxa"/>
          </w:tcPr>
          <w:p>
            <w:pPr>
              <w:spacing w:after="60"/>
            </w:pPr>
            <w:r/>
            <w:r>
              <w:rPr>
                <w:b w:val="0"/>
                <w:sz w:val="20"/>
              </w:rPr>
              <w:t>P-23</w:t>
            </w:r>
          </w:p>
        </w:tc>
        <w:tc>
          <w:tcPr>
            <w:tcW w:w="6236" w:type="dxa"/>
          </w:tcPr>
          <w:p>
            <w:pPr>
              <w:spacing w:after="60"/>
            </w:pPr>
            <w:r/>
            <w:r>
              <w:rPr>
                <w:b w:val="0"/>
                <w:sz w:val="20"/>
              </w:rPr>
              <w:t>Passagem obrigatória pelo CRO antes de o gato entrar na colónia</w:t>
            </w:r>
          </w:p>
        </w:tc>
      </w:tr>
      <w:tr>
        <w:tc>
          <w:tcPr>
            <w:tcW w:w="1417" w:type="dxa"/>
          </w:tcPr>
          <w:p>
            <w:pPr>
              <w:spacing w:after="60"/>
            </w:pPr>
            <w:r/>
            <w:r>
              <w:rPr>
                <w:b w:val="0"/>
                <w:sz w:val="20"/>
              </w:rPr>
              <w:t>C-06</w:t>
            </w:r>
          </w:p>
        </w:tc>
        <w:tc>
          <w:tcPr>
            <w:tcW w:w="1417" w:type="dxa"/>
          </w:tcPr>
          <w:p>
            <w:pPr>
              <w:spacing w:after="60"/>
            </w:pPr>
            <w:r/>
            <w:r>
              <w:rPr>
                <w:b w:val="0"/>
                <w:sz w:val="20"/>
              </w:rPr>
              <w:t>P-24</w:t>
            </w:r>
          </w:p>
        </w:tc>
        <w:tc>
          <w:tcPr>
            <w:tcW w:w="6236" w:type="dxa"/>
          </w:tcPr>
          <w:p>
            <w:pPr>
              <w:spacing w:after="60"/>
            </w:pPr>
            <w:r/>
            <w:r>
              <w:rPr>
                <w:b w:val="0"/>
                <w:sz w:val="20"/>
              </w:rPr>
              <w:t>Exclusão dos cães do CED</w:t>
            </w:r>
          </w:p>
        </w:tc>
      </w:tr>
      <w:tr>
        <w:tc>
          <w:tcPr>
            <w:tcW w:w="1417" w:type="dxa"/>
          </w:tcPr>
          <w:p>
            <w:pPr>
              <w:spacing w:after="60"/>
            </w:pPr>
            <w:r/>
            <w:r>
              <w:rPr>
                <w:b w:val="0"/>
                <w:sz w:val="20"/>
              </w:rPr>
              <w:t>C-07</w:t>
            </w:r>
          </w:p>
        </w:tc>
        <w:tc>
          <w:tcPr>
            <w:tcW w:w="1417" w:type="dxa"/>
          </w:tcPr>
          <w:p>
            <w:pPr>
              <w:spacing w:after="60"/>
            </w:pPr>
            <w:r/>
            <w:r>
              <w:rPr>
                <w:b w:val="0"/>
                <w:sz w:val="20"/>
              </w:rPr>
              <w:t>P-25</w:t>
            </w:r>
          </w:p>
        </w:tc>
        <w:tc>
          <w:tcPr>
            <w:tcW w:w="6236" w:type="dxa"/>
          </w:tcPr>
          <w:p>
            <w:pPr>
              <w:spacing w:after="60"/>
            </w:pPr>
            <w:r/>
            <w:r>
              <w:rPr>
                <w:b w:val="0"/>
                <w:sz w:val="20"/>
              </w:rPr>
              <w:t>Remissões e numeração erradas no artigo do CED</w:t>
            </w:r>
          </w:p>
        </w:tc>
      </w:tr>
      <w:tr>
        <w:tc>
          <w:tcPr>
            <w:tcW w:w="1417" w:type="dxa"/>
          </w:tcPr>
          <w:p>
            <w:pPr>
              <w:spacing w:after="60"/>
            </w:pPr>
            <w:r/>
            <w:r>
              <w:rPr>
                <w:b w:val="0"/>
                <w:sz w:val="20"/>
              </w:rPr>
              <w:t>C-08</w:t>
            </w:r>
          </w:p>
        </w:tc>
        <w:tc>
          <w:tcPr>
            <w:tcW w:w="1417" w:type="dxa"/>
          </w:tcPr>
          <w:p>
            <w:pPr>
              <w:spacing w:after="60"/>
            </w:pPr>
            <w:r/>
            <w:r>
              <w:rPr>
                <w:b w:val="0"/>
                <w:sz w:val="20"/>
              </w:rPr>
              <w:t>P-26</w:t>
            </w:r>
          </w:p>
        </w:tc>
        <w:tc>
          <w:tcPr>
            <w:tcW w:w="6236" w:type="dxa"/>
          </w:tcPr>
          <w:p>
            <w:pPr>
              <w:spacing w:after="60"/>
            </w:pPr>
            <w:r/>
            <w:r>
              <w:rPr>
                <w:b w:val="0"/>
                <w:sz w:val="20"/>
              </w:rPr>
              <w:t>Entidade promotora, entidade responsável e titular: quem responde pela colónia</w:t>
            </w:r>
          </w:p>
        </w:tc>
      </w:tr>
      <w:tr>
        <w:tc>
          <w:tcPr>
            <w:tcW w:w="1417" w:type="dxa"/>
          </w:tcPr>
          <w:p>
            <w:pPr>
              <w:spacing w:after="60"/>
            </w:pPr>
            <w:r/>
            <w:r>
              <w:rPr>
                <w:b w:val="0"/>
                <w:sz w:val="20"/>
              </w:rPr>
              <w:t>C-09</w:t>
            </w:r>
          </w:p>
        </w:tc>
        <w:tc>
          <w:tcPr>
            <w:tcW w:w="1417" w:type="dxa"/>
          </w:tcPr>
          <w:p>
            <w:pPr>
              <w:spacing w:after="60"/>
            </w:pPr>
            <w:r/>
            <w:r>
              <w:rPr>
                <w:b w:val="0"/>
                <w:sz w:val="20"/>
              </w:rPr>
              <w:t>P-27</w:t>
            </w:r>
          </w:p>
        </w:tc>
        <w:tc>
          <w:tcPr>
            <w:tcW w:w="6236" w:type="dxa"/>
          </w:tcPr>
          <w:p>
            <w:pPr>
              <w:spacing w:after="60"/>
            </w:pPr>
            <w:r/>
            <w:r>
              <w:rPr>
                <w:b w:val="0"/>
                <w:sz w:val="20"/>
              </w:rPr>
              <w:t>Registo da colónia no SIAC sem conteúdo definido</w:t>
            </w:r>
          </w:p>
        </w:tc>
      </w:tr>
      <w:tr>
        <w:tc>
          <w:tcPr>
            <w:tcW w:w="1417" w:type="dxa"/>
          </w:tcPr>
          <w:p>
            <w:pPr>
              <w:spacing w:after="60"/>
            </w:pPr>
            <w:r/>
            <w:r>
              <w:rPr>
                <w:b w:val="0"/>
                <w:sz w:val="20"/>
              </w:rPr>
              <w:t>C-10</w:t>
            </w:r>
          </w:p>
        </w:tc>
        <w:tc>
          <w:tcPr>
            <w:tcW w:w="1417" w:type="dxa"/>
          </w:tcPr>
          <w:p>
            <w:pPr>
              <w:spacing w:after="60"/>
            </w:pPr>
            <w:r/>
            <w:r>
              <w:rPr>
                <w:b w:val="0"/>
                <w:sz w:val="20"/>
              </w:rPr>
              <w:t>P-28</w:t>
            </w:r>
          </w:p>
        </w:tc>
        <w:tc>
          <w:tcPr>
            <w:tcW w:w="6236" w:type="dxa"/>
          </w:tcPr>
          <w:p>
            <w:pPr>
              <w:spacing w:after="60"/>
            </w:pPr>
            <w:r/>
            <w:r>
              <w:rPr>
                <w:b w:val="0"/>
                <w:sz w:val="20"/>
              </w:rPr>
              <w:t>Colónias em prédios privados</w:t>
            </w:r>
          </w:p>
        </w:tc>
      </w:tr>
      <w:tr>
        <w:tc>
          <w:tcPr>
            <w:tcW w:w="1417" w:type="dxa"/>
          </w:tcPr>
          <w:p>
            <w:pPr>
              <w:spacing w:after="60"/>
            </w:pPr>
            <w:r/>
            <w:r>
              <w:rPr>
                <w:b w:val="0"/>
                <w:sz w:val="20"/>
              </w:rPr>
              <w:t>C-11</w:t>
            </w:r>
          </w:p>
        </w:tc>
        <w:tc>
          <w:tcPr>
            <w:tcW w:w="1417" w:type="dxa"/>
          </w:tcPr>
          <w:p>
            <w:pPr>
              <w:spacing w:after="60"/>
            </w:pPr>
            <w:r/>
            <w:r>
              <w:rPr>
                <w:b w:val="0"/>
                <w:sz w:val="20"/>
              </w:rPr>
              <w:t>P-29</w:t>
            </w:r>
          </w:p>
        </w:tc>
        <w:tc>
          <w:tcPr>
            <w:tcW w:w="6236" w:type="dxa"/>
          </w:tcPr>
          <w:p>
            <w:pPr>
              <w:spacing w:after="60"/>
            </w:pPr>
            <w:r/>
            <w:r>
              <w:rPr>
                <w:b w:val="0"/>
                <w:sz w:val="20"/>
              </w:rPr>
              <w:t>CED e conservação da natureza</w:t>
            </w:r>
          </w:p>
        </w:tc>
      </w:tr>
      <w:tr>
        <w:tc>
          <w:tcPr>
            <w:tcW w:w="1417" w:type="dxa"/>
          </w:tcPr>
          <w:p>
            <w:pPr>
              <w:spacing w:after="60"/>
            </w:pPr>
            <w:r/>
            <w:r>
              <w:rPr>
                <w:b w:val="0"/>
                <w:sz w:val="20"/>
              </w:rPr>
              <w:t>C-12</w:t>
            </w:r>
          </w:p>
        </w:tc>
        <w:tc>
          <w:tcPr>
            <w:tcW w:w="1417" w:type="dxa"/>
          </w:tcPr>
          <w:p>
            <w:pPr>
              <w:spacing w:after="60"/>
            </w:pPr>
            <w:r/>
            <w:r>
              <w:rPr>
                <w:b w:val="0"/>
                <w:sz w:val="20"/>
              </w:rPr>
              <w:t>P-30</w:t>
            </w:r>
          </w:p>
        </w:tc>
        <w:tc>
          <w:tcPr>
            <w:tcW w:w="6236" w:type="dxa"/>
          </w:tcPr>
          <w:p>
            <w:pPr>
              <w:spacing w:after="60"/>
            </w:pPr>
            <w:r/>
            <w:r>
              <w:rPr>
                <w:b w:val="0"/>
                <w:sz w:val="20"/>
              </w:rPr>
              <w:t>Gatos de colónia em infração permanente</w:t>
            </w:r>
          </w:p>
        </w:tc>
      </w:tr>
      <w:tr>
        <w:tc>
          <w:tcPr>
            <w:tcW w:w="1417" w:type="dxa"/>
          </w:tcPr>
          <w:p>
            <w:pPr>
              <w:spacing w:after="60"/>
            </w:pPr>
            <w:r/>
            <w:r>
              <w:rPr>
                <w:b w:val="0"/>
                <w:sz w:val="20"/>
              </w:rPr>
              <w:t>C-13</w:t>
            </w:r>
          </w:p>
        </w:tc>
        <w:tc>
          <w:tcPr>
            <w:tcW w:w="1417" w:type="dxa"/>
          </w:tcPr>
          <w:p>
            <w:pPr>
              <w:spacing w:after="60"/>
            </w:pPr>
            <w:r/>
            <w:r>
              <w:rPr>
                <w:b w:val="0"/>
                <w:sz w:val="20"/>
              </w:rPr>
              <w:t>P-31</w:t>
            </w:r>
          </w:p>
        </w:tc>
        <w:tc>
          <w:tcPr>
            <w:tcW w:w="6236" w:type="dxa"/>
          </w:tcPr>
          <w:p>
            <w:pPr>
              <w:spacing w:after="60"/>
            </w:pPr>
            <w:r/>
            <w:r>
              <w:rPr>
                <w:b w:val="0"/>
                <w:sz w:val="20"/>
              </w:rPr>
              <w:t>Crias e gatos sociáveis: retirar ou devolver</w:t>
            </w:r>
          </w:p>
        </w:tc>
      </w:tr>
      <w:tr>
        <w:tc>
          <w:tcPr>
            <w:tcW w:w="1417" w:type="dxa"/>
          </w:tcPr>
          <w:p>
            <w:pPr>
              <w:spacing w:after="60"/>
            </w:pPr>
            <w:r/>
            <w:r>
              <w:rPr>
                <w:b w:val="0"/>
                <w:sz w:val="20"/>
              </w:rPr>
              <w:t>C-14</w:t>
            </w:r>
          </w:p>
        </w:tc>
        <w:tc>
          <w:tcPr>
            <w:tcW w:w="1417" w:type="dxa"/>
          </w:tcPr>
          <w:p>
            <w:pPr>
              <w:spacing w:after="60"/>
            </w:pPr>
            <w:r/>
            <w:r>
              <w:rPr>
                <w:b w:val="0"/>
                <w:sz w:val="20"/>
              </w:rPr>
              <w:t>P-32</w:t>
            </w:r>
          </w:p>
        </w:tc>
        <w:tc>
          <w:tcPr>
            <w:tcW w:w="6236" w:type="dxa"/>
          </w:tcPr>
          <w:p>
            <w:pPr>
              <w:spacing w:after="60"/>
            </w:pPr>
            <w:r/>
            <w:r>
              <w:rPr>
                <w:b w:val="0"/>
                <w:sz w:val="20"/>
              </w:rPr>
              <w:t>Suspensão do programa e recolha dos gatos sem garantias</w:t>
            </w:r>
          </w:p>
        </w:tc>
      </w:tr>
      <w:tr>
        <w:tc>
          <w:tcPr>
            <w:tcW w:w="1417" w:type="dxa"/>
          </w:tcPr>
          <w:p>
            <w:pPr>
              <w:spacing w:after="60"/>
            </w:pPr>
            <w:r/>
            <w:r>
              <w:rPr>
                <w:b w:val="0"/>
                <w:sz w:val="20"/>
              </w:rPr>
              <w:t>C-15</w:t>
            </w:r>
          </w:p>
        </w:tc>
        <w:tc>
          <w:tcPr>
            <w:tcW w:w="1417" w:type="dxa"/>
          </w:tcPr>
          <w:p>
            <w:pPr>
              <w:spacing w:after="60"/>
            </w:pPr>
            <w:r/>
            <w:r>
              <w:rPr>
                <w:b w:val="0"/>
                <w:sz w:val="20"/>
              </w:rPr>
              <w:t>P-33</w:t>
            </w:r>
          </w:p>
        </w:tc>
        <w:tc>
          <w:tcPr>
            <w:tcW w:w="6236" w:type="dxa"/>
          </w:tcPr>
          <w:p>
            <w:pPr>
              <w:spacing w:after="60"/>
            </w:pPr>
            <w:r/>
            <w:r>
              <w:rPr>
                <w:b w:val="0"/>
                <w:sz w:val="20"/>
              </w:rPr>
              <w:t>Meios: médicos veterinários municipais e financiamento</w:t>
            </w:r>
          </w:p>
        </w:tc>
      </w:tr>
      <w:tr>
        <w:tc>
          <w:tcPr>
            <w:tcW w:w="1417" w:type="dxa"/>
          </w:tcPr>
          <w:p>
            <w:pPr>
              <w:spacing w:after="60"/>
            </w:pPr>
            <w:r/>
            <w:r>
              <w:rPr>
                <w:b w:val="0"/>
                <w:sz w:val="20"/>
              </w:rPr>
              <w:t>C-16</w:t>
            </w:r>
          </w:p>
        </w:tc>
        <w:tc>
          <w:tcPr>
            <w:tcW w:w="1417" w:type="dxa"/>
          </w:tcPr>
          <w:p>
            <w:pPr>
              <w:spacing w:after="60"/>
            </w:pPr>
            <w:r/>
            <w:r>
              <w:rPr>
                <w:b w:val="0"/>
                <w:sz w:val="20"/>
              </w:rPr>
              <w:t>P-34</w:t>
            </w:r>
          </w:p>
        </w:tc>
        <w:tc>
          <w:tcPr>
            <w:tcW w:w="6236" w:type="dxa"/>
          </w:tcPr>
          <w:p>
            <w:pPr>
              <w:spacing w:after="60"/>
            </w:pPr>
            <w:r/>
            <w:r>
              <w:rPr>
                <w:b w:val="0"/>
                <w:sz w:val="20"/>
              </w:rPr>
              <w:t>Conflito com vizinhos e dimensão da colónia</w:t>
            </w:r>
          </w:p>
        </w:tc>
      </w:tr>
      <w:tr>
        <w:tc>
          <w:tcPr>
            <w:tcW w:w="1417" w:type="dxa"/>
          </w:tcPr>
          <w:p>
            <w:pPr>
              <w:spacing w:after="60"/>
            </w:pPr>
            <w:r/>
            <w:r>
              <w:rPr>
                <w:b w:val="0"/>
                <w:sz w:val="20"/>
              </w:rPr>
              <w:t>C-17</w:t>
            </w:r>
          </w:p>
        </w:tc>
        <w:tc>
          <w:tcPr>
            <w:tcW w:w="1417" w:type="dxa"/>
          </w:tcPr>
          <w:p>
            <w:pPr>
              <w:spacing w:after="60"/>
            </w:pPr>
            <w:r/>
            <w:r>
              <w:rPr>
                <w:b w:val="0"/>
                <w:sz w:val="20"/>
              </w:rPr>
              <w:t>P-35</w:t>
            </w:r>
          </w:p>
        </w:tc>
        <w:tc>
          <w:tcPr>
            <w:tcW w:w="6236" w:type="dxa"/>
          </w:tcPr>
          <w:p>
            <w:pPr>
              <w:spacing w:after="60"/>
            </w:pPr>
            <w:r/>
            <w:r>
              <w:rPr>
                <w:b w:val="0"/>
                <w:sz w:val="20"/>
              </w:rPr>
              <w:t>Plano municipal de controlo de errantes sem conteúdo mínimo nem consequências</w:t>
            </w:r>
          </w:p>
        </w:tc>
      </w:tr>
      <w:tr>
        <w:tc>
          <w:tcPr>
            <w:tcW w:w="1417" w:type="dxa"/>
          </w:tcPr>
          <w:p>
            <w:pPr>
              <w:spacing w:after="60"/>
            </w:pPr>
            <w:r/>
            <w:r>
              <w:rPr>
                <w:b w:val="0"/>
                <w:sz w:val="20"/>
              </w:rPr>
              <w:t>T-20</w:t>
            </w:r>
          </w:p>
        </w:tc>
        <w:tc>
          <w:tcPr>
            <w:tcW w:w="1417" w:type="dxa"/>
          </w:tcPr>
          <w:p>
            <w:pPr>
              <w:spacing w:after="60"/>
            </w:pPr>
            <w:r/>
            <w:r>
              <w:rPr>
                <w:b w:val="0"/>
                <w:sz w:val="20"/>
              </w:rPr>
              <w:t>P-37</w:t>
            </w:r>
          </w:p>
        </w:tc>
        <w:tc>
          <w:tcPr>
            <w:tcW w:w="6236" w:type="dxa"/>
          </w:tcPr>
          <w:p>
            <w:pPr>
              <w:spacing w:after="60"/>
            </w:pPr>
            <w:r/>
            <w:r>
              <w:rPr>
                <w:b w:val="0"/>
                <w:sz w:val="20"/>
              </w:rPr>
              <w:t>Quem acolhe um animal errante pode ficar sem saída lícita</w:t>
            </w:r>
          </w:p>
        </w:tc>
      </w:tr>
      <w:tr>
        <w:tc>
          <w:tcPr>
            <w:tcW w:w="1417" w:type="dxa"/>
          </w:tcPr>
          <w:p>
            <w:pPr>
              <w:spacing w:after="60"/>
            </w:pPr>
            <w:r/>
            <w:r>
              <w:rPr>
                <w:b w:val="0"/>
                <w:sz w:val="20"/>
              </w:rPr>
              <w:t>C-18</w:t>
            </w:r>
          </w:p>
        </w:tc>
        <w:tc>
          <w:tcPr>
            <w:tcW w:w="1417" w:type="dxa"/>
          </w:tcPr>
          <w:p>
            <w:pPr>
              <w:spacing w:after="60"/>
            </w:pPr>
            <w:r/>
            <w:r>
              <w:rPr>
                <w:b w:val="0"/>
                <w:sz w:val="20"/>
              </w:rPr>
              <w:t>P-38</w:t>
            </w:r>
          </w:p>
        </w:tc>
        <w:tc>
          <w:tcPr>
            <w:tcW w:w="6236" w:type="dxa"/>
          </w:tcPr>
          <w:p>
            <w:pPr>
              <w:spacing w:after="60"/>
            </w:pPr>
            <w:r/>
            <w:r>
              <w:rPr>
                <w:b w:val="0"/>
                <w:sz w:val="20"/>
              </w:rPr>
              <w:t>A definição de animal errante passa a abranger qualquer animal não identificado</w:t>
            </w:r>
          </w:p>
        </w:tc>
      </w:tr>
      <w:tr>
        <w:tc>
          <w:tcPr>
            <w:tcW w:w="1417" w:type="dxa"/>
          </w:tcPr>
          <w:p>
            <w:pPr>
              <w:spacing w:after="60"/>
            </w:pPr>
            <w:r/>
            <w:r>
              <w:rPr>
                <w:b w:val="0"/>
                <w:sz w:val="20"/>
              </w:rPr>
              <w:t>C-19</w:t>
            </w:r>
          </w:p>
        </w:tc>
        <w:tc>
          <w:tcPr>
            <w:tcW w:w="1417" w:type="dxa"/>
          </w:tcPr>
          <w:p>
            <w:pPr>
              <w:spacing w:after="60"/>
            </w:pPr>
            <w:r/>
            <w:r>
              <w:rPr>
                <w:b w:val="0"/>
                <w:sz w:val="20"/>
              </w:rPr>
              <w:t>P-39</w:t>
            </w:r>
          </w:p>
        </w:tc>
        <w:tc>
          <w:tcPr>
            <w:tcW w:w="6236" w:type="dxa"/>
          </w:tcPr>
          <w:p>
            <w:pPr>
              <w:spacing w:after="60"/>
            </w:pPr>
            <w:r/>
            <w:r>
              <w:rPr>
                <w:b w:val="0"/>
                <w:sz w:val="20"/>
              </w:rPr>
              <w:t>A Lei 75/2013 ainda atribui às câmaras o abate de canídeos e gatídeos</w:t>
            </w:r>
          </w:p>
        </w:tc>
      </w:tr>
      <w:tr>
        <w:tc>
          <w:tcPr>
            <w:tcW w:w="1417" w:type="dxa"/>
          </w:tcPr>
          <w:p>
            <w:pPr>
              <w:spacing w:after="60"/>
            </w:pPr>
            <w:r/>
            <w:r>
              <w:rPr>
                <w:b w:val="0"/>
                <w:sz w:val="20"/>
              </w:rPr>
              <w:t>P-01</w:t>
            </w:r>
          </w:p>
        </w:tc>
        <w:tc>
          <w:tcPr>
            <w:tcW w:w="1417" w:type="dxa"/>
          </w:tcPr>
          <w:p>
            <w:pPr>
              <w:spacing w:after="60"/>
            </w:pPr>
            <w:r/>
            <w:r>
              <w:rPr>
                <w:b w:val="0"/>
                <w:sz w:val="20"/>
              </w:rPr>
              <w:t>P-40</w:t>
            </w:r>
          </w:p>
        </w:tc>
        <w:tc>
          <w:tcPr>
            <w:tcW w:w="6236" w:type="dxa"/>
          </w:tcPr>
          <w:p>
            <w:pPr>
              <w:spacing w:after="60"/>
            </w:pPr>
            <w:r/>
            <w:r>
              <w:rPr>
                <w:b w:val="0"/>
                <w:sz w:val="20"/>
              </w:rPr>
              <w:t>A amarração no domicílio fica sem duração máxima nem requisitos verificáveis</w:t>
            </w:r>
          </w:p>
        </w:tc>
      </w:tr>
      <w:tr>
        <w:tc>
          <w:tcPr>
            <w:tcW w:w="1417" w:type="dxa"/>
          </w:tcPr>
          <w:p>
            <w:pPr>
              <w:spacing w:after="60"/>
            </w:pPr>
            <w:r/>
            <w:r>
              <w:rPr>
                <w:b w:val="0"/>
                <w:sz w:val="20"/>
              </w:rPr>
              <w:t>A-01</w:t>
            </w:r>
          </w:p>
        </w:tc>
        <w:tc>
          <w:tcPr>
            <w:tcW w:w="1417" w:type="dxa"/>
          </w:tcPr>
          <w:p>
            <w:pPr>
              <w:spacing w:after="60"/>
            </w:pPr>
            <w:r/>
            <w:r>
              <w:rPr>
                <w:b w:val="0"/>
                <w:sz w:val="20"/>
              </w:rPr>
              <w:t>P-41</w:t>
            </w:r>
          </w:p>
        </w:tc>
        <w:tc>
          <w:tcPr>
            <w:tcW w:w="6236" w:type="dxa"/>
          </w:tcPr>
          <w:p>
            <w:pPr>
              <w:spacing w:after="60"/>
            </w:pPr>
            <w:r/>
            <w:r>
              <w:rPr>
                <w:b w:val="0"/>
                <w:sz w:val="20"/>
              </w:rPr>
              <w:t>Duas normas diferentes sobre que espécies são animais de companhia</w:t>
            </w:r>
          </w:p>
        </w:tc>
      </w:tr>
      <w:tr>
        <w:tc>
          <w:tcPr>
            <w:tcW w:w="1417" w:type="dxa"/>
          </w:tcPr>
          <w:p>
            <w:pPr>
              <w:spacing w:after="60"/>
            </w:pPr>
            <w:r/>
            <w:r>
              <w:rPr>
                <w:b w:val="0"/>
                <w:sz w:val="20"/>
              </w:rPr>
              <w:t>S-01</w:t>
            </w:r>
          </w:p>
        </w:tc>
        <w:tc>
          <w:tcPr>
            <w:tcW w:w="1417" w:type="dxa"/>
          </w:tcPr>
          <w:p>
            <w:pPr>
              <w:spacing w:after="60"/>
            </w:pPr>
            <w:r/>
            <w:r>
              <w:rPr>
                <w:b w:val="0"/>
                <w:sz w:val="20"/>
              </w:rPr>
              <w:t>P-42</w:t>
            </w:r>
          </w:p>
        </w:tc>
        <w:tc>
          <w:tcPr>
            <w:tcW w:w="6236" w:type="dxa"/>
          </w:tcPr>
          <w:p>
            <w:pPr>
              <w:spacing w:after="60"/>
            </w:pPr>
            <w:r/>
            <w:r>
              <w:rPr>
                <w:b w:val="0"/>
                <w:sz w:val="20"/>
              </w:rPr>
              <w:t>Os deveres dos CRO e o relatório anual ficam sem coima</w:t>
            </w:r>
          </w:p>
        </w:tc>
      </w:tr>
      <w:tr>
        <w:tc>
          <w:tcPr>
            <w:tcW w:w="1417" w:type="dxa"/>
          </w:tcPr>
          <w:p>
            <w:pPr>
              <w:spacing w:after="60"/>
            </w:pPr>
            <w:r/>
            <w:r>
              <w:rPr>
                <w:b w:val="0"/>
                <w:sz w:val="20"/>
              </w:rPr>
              <w:t>F-01</w:t>
            </w:r>
          </w:p>
        </w:tc>
        <w:tc>
          <w:tcPr>
            <w:tcW w:w="1417" w:type="dxa"/>
          </w:tcPr>
          <w:p>
            <w:pPr>
              <w:spacing w:after="60"/>
            </w:pPr>
            <w:r/>
            <w:r>
              <w:rPr>
                <w:b w:val="0"/>
                <w:sz w:val="20"/>
              </w:rPr>
              <w:t>P-43</w:t>
            </w:r>
          </w:p>
        </w:tc>
        <w:tc>
          <w:tcPr>
            <w:tcW w:w="6236" w:type="dxa"/>
          </w:tcPr>
          <w:p>
            <w:pPr>
              <w:spacing w:after="60"/>
            </w:pPr>
            <w:r/>
            <w:r>
              <w:rPr>
                <w:b w:val="0"/>
                <w:sz w:val="20"/>
              </w:rPr>
              <w:t>A revogação total da Lei 92/95 apaga normas que não tratam de animais de companhia</w:t>
            </w:r>
          </w:p>
        </w:tc>
      </w:tr>
      <w:tr>
        <w:tc>
          <w:tcPr>
            <w:tcW w:w="1417" w:type="dxa"/>
          </w:tcPr>
          <w:p>
            <w:pPr>
              <w:spacing w:after="60"/>
            </w:pPr>
            <w:r/>
            <w:r>
              <w:rPr>
                <w:b w:val="0"/>
                <w:sz w:val="20"/>
              </w:rPr>
              <w:t>F-02</w:t>
            </w:r>
          </w:p>
        </w:tc>
        <w:tc>
          <w:tcPr>
            <w:tcW w:w="1417" w:type="dxa"/>
          </w:tcPr>
          <w:p>
            <w:pPr>
              <w:spacing w:after="60"/>
            </w:pPr>
            <w:r/>
            <w:r>
              <w:rPr>
                <w:b w:val="0"/>
                <w:sz w:val="20"/>
              </w:rPr>
              <w:t>P-44</w:t>
            </w:r>
          </w:p>
        </w:tc>
        <w:tc>
          <w:tcPr>
            <w:tcW w:w="6236" w:type="dxa"/>
          </w:tcPr>
          <w:p>
            <w:pPr>
              <w:spacing w:after="60"/>
            </w:pPr>
            <w:r/>
            <w:r>
              <w:rPr>
                <w:b w:val="0"/>
                <w:sz w:val="20"/>
              </w:rPr>
              <w:t>O DL 74/2007 é ressalvado e revogado ao mesmo tempo</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P-01 a P-35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13.10.2026.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4">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5">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6">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27">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28">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9">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0">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1">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2">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3">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4">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5">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6">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7">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8">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9">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0">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1">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2">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3">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4">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5">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6">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7">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8">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9">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50">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1">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2">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3">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4">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5">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6">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7">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8">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9">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60">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1">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2">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3">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4">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5">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6">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7">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68">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9">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70">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1">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2">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3">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2.0 (ensaio), com o conteúdo da versão 1.20.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files.diariodarepublica.pt/1s/2025/04/06800/0007500080.pdf" TargetMode="External"/><Relationship Id="rId25" Type="http://schemas.openxmlformats.org/officeDocument/2006/relationships/hyperlink" Target="https://diariodarepublica.pt/dr/detalhe/lei/73-a-2025-993270096" TargetMode="External"/><Relationship Id="rId26" Type="http://schemas.openxmlformats.org/officeDocument/2006/relationships/hyperlink" Target="https://files.diariodarepublica.pt/2s/2026/03/045000000/0023300269.pdf" TargetMode="External"/><Relationship Id="rId27" Type="http://schemas.openxmlformats.org/officeDocument/2006/relationships/hyperlink" Target="https://diariodarepublica.pt/dr/detalhe/despacho/9102-2026-1148891344" TargetMode="External"/><Relationship Id="rId28" Type="http://schemas.openxmlformats.org/officeDocument/2006/relationships/hyperlink" Target="https://diariodarepublica.pt/dr/detalhe/lei/6-2022-177309291" TargetMode="External"/><Relationship Id="rId29" Type="http://schemas.openxmlformats.org/officeDocument/2006/relationships/hyperlink" Target="https://anmp.pt/file-viewer/?pstid=41508" TargetMode="External"/><Relationship Id="rId30"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1"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2" Type="http://schemas.openxmlformats.org/officeDocument/2006/relationships/hyperlink" Target="https://www.icnf.pt/api/file/doc/41f8f44aee23be1a" TargetMode="External"/><Relationship Id="rId33" Type="http://schemas.openxmlformats.org/officeDocument/2006/relationships/hyperlink" Target="https://www.dgav.pt/wp-content/uploads/2021/08/Relatorio-FINAL-avaliacao-da-implementacao-da-Lei-27-2016.pdf" TargetMode="External"/><Relationship Id="rId34" Type="http://schemas.openxmlformats.org/officeDocument/2006/relationships/hyperlink" Target="https://www.provedor-jus.pt/documentos/082A_96.pdf" TargetMode="External"/><Relationship Id="rId35" Type="http://schemas.openxmlformats.org/officeDocument/2006/relationships/hyperlink" Target="https://www.provedor-jus.pt/documentos/canideos-captura-alojamento-e-abate/" TargetMode="External"/><Relationship Id="rId36" Type="http://schemas.openxmlformats.org/officeDocument/2006/relationships/hyperlink" Target="https://www.provedor-jus.pt/documentos/ambiente-salubridade-habitacao-acumulacao-de-residuos-saude-mental-sindrome-de-diogenes-004-a-2013/" TargetMode="External"/><Relationship Id="rId37" Type="http://schemas.openxmlformats.org/officeDocument/2006/relationships/hyperlink" Target="https://www.provedor-jus.pt/documentos/Relat2020%20_Relatorio.pdf" TargetMode="External"/><Relationship Id="rId38" Type="http://schemas.openxmlformats.org/officeDocument/2006/relationships/hyperlink" Target="https://www.provedor-jus.pt/documentos/Relatorio%202023.pdf" TargetMode="External"/><Relationship Id="rId39" Type="http://schemas.openxmlformats.org/officeDocument/2006/relationships/hyperlink" Target="https://food.ec.europa.eu/document/download/caf8cd1d-967a-4e60-a0e5-19401be1c6b3_en?filename=aw_awp_leg_dog-cat_swd-2024-88.pdf" TargetMode="External"/><Relationship Id="rId40" Type="http://schemas.openxmlformats.org/officeDocument/2006/relationships/hyperlink" Target="https://www.woah.org/fileadmin/Home/eng/Health_standards/tahc/2023/chapitre_aw_stray_dog.pdf" TargetMode="External"/><Relationship Id="rId41" Type="http://schemas.openxmlformats.org/officeDocument/2006/relationships/hyperlink" Target="https://www.omv.pt/dmdocuments/vi_formacao_omv/abandono_animais_camv_ultimoparecer_nov2015.pdf" TargetMode="External"/><Relationship Id="rId42"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3" Type="http://schemas.openxmlformats.org/officeDocument/2006/relationships/hyperlink" Target="https://apmveac.pt/wp-content/uploads/2021/04/Legislacao.Animais.Companhia_09-04-2021-amarelo-final-.pdf" TargetMode="External"/><Relationship Id="rId44" Type="http://schemas.openxmlformats.org/officeDocument/2006/relationships/hyperlink" Target="https://apmveac.pt/wp-content/uploads/2023/09/Parecer-APMVEAC-Consulta-Publica-ENAE.pdf" TargetMode="External"/><Relationship Id="rId45" Type="http://schemas.openxmlformats.org/officeDocument/2006/relationships/hyperlink" Target="https://www.arpa-associacao.pt/media/attachments/2022/12/14/parecer-arpa-versAo-4-final.pdf" TargetMode="External"/><Relationship Id="rId46" Type="http://schemas.openxmlformats.org/officeDocument/2006/relationships/hyperlink" Target="https://www.spea.pt/wp-content/uploads/2020/09/ParecerSPEA_Planos-Gestao-Parques-Naturais-Ilha-2020.pdf" TargetMode="External"/><Relationship Id="rId47" Type="http://schemas.openxmlformats.org/officeDocument/2006/relationships/hyperlink" Target="https://spea.pt/um-gato-feliz-e-alimentado-mantem-o-passarinho-afastado/" TargetMode="External"/><Relationship Id="rId48" Type="http://schemas.openxmlformats.org/officeDocument/2006/relationships/hyperlink" Target="https://matilhascoimbra.pt/pages/projecto-2" TargetMode="External"/><Relationship Id="rId49" Type="http://schemas.openxmlformats.org/officeDocument/2006/relationships/hyperlink" Target="https://www.pan.com.pt/pan-destaca-vitorias-no-bem-estar-animal-mas-denuncia-retrocesso-grave-no-orcamento-do-estado-para-2026/" TargetMode="External"/><Relationship Id="rId50" Type="http://schemas.openxmlformats.org/officeDocument/2006/relationships/hyperlink" Target="https://www.pcp.pt/solucao-prevencao-pela-esterilizacao-rede-publica-de-veterinarios-nao-abate-de-animais-abandonados" TargetMode="External"/><Relationship Id="rId51" Type="http://schemas.openxmlformats.org/officeDocument/2006/relationships/hyperlink" Target="https://www.pcp.pt/campanha-nacional-de-esterilizacao-de-animais-errantes-0" TargetMode="External"/><Relationship Id="rId52" Type="http://schemas.openxmlformats.org/officeDocument/2006/relationships/hyperlink" Target="https://programa.partidolivre.pt/propostas/N.13/" TargetMode="External"/><Relationship Id="rId53" Type="http://schemas.openxmlformats.org/officeDocument/2006/relationships/hyperlink" Target="https://maratonapelosanimais.pt/wp-content/uploads/2024/03/respostas-completas.pdf" TargetMode="External"/><Relationship Id="rId54" Type="http://schemas.openxmlformats.org/officeDocument/2006/relationships/hyperlink" Target="https://www.cidp.pt/revistas/rjlb/2019/2/2019_02_0077_0095.pdf" TargetMode="External"/><Relationship Id="rId55" Type="http://schemas.openxmlformats.org/officeDocument/2006/relationships/hyperlink" Target="https://www.cidp.pt/revistas/rjlb/2019/2/2019_02_0305_0348.pdf" TargetMode="External"/><Relationship Id="rId56" Type="http://schemas.openxmlformats.org/officeDocument/2006/relationships/hyperlink" Target="https://cej.justica.gov.pt/LinkClick.aspx?fileticket=VpuQj7jZ-us%3D&amp;portalid=30" TargetMode="External"/><Relationship Id="rId57" Type="http://schemas.openxmlformats.org/officeDocument/2006/relationships/hyperlink" Target="https://jurisprudencia.pt/acordao/76412/" TargetMode="External"/><Relationship Id="rId58" Type="http://schemas.openxmlformats.org/officeDocument/2006/relationships/hyperlink" Target="https://trc.pt/responsabilidade-civil-danos-causados-por-animais-dever-de-vigilancia/" TargetMode="External"/><Relationship Id="rId59" Type="http://schemas.openxmlformats.org/officeDocument/2006/relationships/hyperlink" Target="https://jurisprudencia.pt/acordao/128487/" TargetMode="External"/><Relationship Id="rId60" Type="http://schemas.openxmlformats.org/officeDocument/2006/relationships/hyperlink" Target="https://www.tribunalconstitucional.pt/tc/acordaos/20210867.html" TargetMode="External"/><Relationship Id="rId61" Type="http://schemas.openxmlformats.org/officeDocument/2006/relationships/hyperlink" Target="https://www.tribunalconstitucional.pt/tc/acordaos/20240070.html" TargetMode="External"/><Relationship Id="rId62" Type="http://schemas.openxmlformats.org/officeDocument/2006/relationships/hyperlink" Target="https://jurisprudencia.pt/acordao/221373/" TargetMode="External"/><Relationship Id="rId63" Type="http://schemas.openxmlformats.org/officeDocument/2006/relationships/hyperlink" Target="https://www.tribunalconstitucional.pt/tc/acordaos/20240478.html" TargetMode="External"/><Relationship Id="rId64" Type="http://schemas.openxmlformats.org/officeDocument/2006/relationships/hyperlink" Target="https://www.dgsi.pt/jtrl.nsf/33182fc732316039802565fa00497eec/7462ba7a0546bac680258c8b0049a31e?OpenDocument" TargetMode="External"/><Relationship Id="rId65" Type="http://schemas.openxmlformats.org/officeDocument/2006/relationships/hyperlink" Target="https://www.dgsi.pt/jtrp.nsf/56a6e7121657f91e80257cda00381fdf/703e8b815ea39ece80258b34004b8157" TargetMode="External"/><Relationship Id="rId66" Type="http://schemas.openxmlformats.org/officeDocument/2006/relationships/hyperlink" Target="https://www.nature.com/articles/ncomms2380" TargetMode="External"/><Relationship Id="rId67" Type="http://schemas.openxmlformats.org/officeDocument/2006/relationships/hyperlink" Target="https://doi.org/10.2460/javma.2005.227.1775" TargetMode="External"/><Relationship Id="rId68" Type="http://schemas.openxmlformats.org/officeDocument/2006/relationships/hyperlink" Target="https://www.frontiersin.org/journals/veterinary-science/articles/10.3389/fvets.2019.00238/full" TargetMode="External"/><Relationship Id="rId69" Type="http://schemas.openxmlformats.org/officeDocument/2006/relationships/hyperlink" Target="https://www.frontiersin.org/journals/veterinary-science/articles/10.3389/fvets.2019.00077/full" TargetMode="External"/><Relationship Id="rId70" Type="http://schemas.openxmlformats.org/officeDocument/2006/relationships/hyperlink" Target="https://doi.org/10.1093/jel/eqz035" TargetMode="External"/><Relationship Id="rId71" Type="http://schemas.openxmlformats.org/officeDocument/2006/relationships/hyperlink" Target="https://pmc.ncbi.nlm.nih.gov/articles/PMC9169806/" TargetMode="External"/><Relationship Id="rId72" Type="http://schemas.openxmlformats.org/officeDocument/2006/relationships/hyperlink" Target="https://pmc.ncbi.nlm.nih.gov/articles/PMC11939513/" TargetMode="External"/><Relationship Id="rId73" Type="http://schemas.openxmlformats.org/officeDocument/2006/relationships/hyperlink" Target="https://dspace.uevora.pt/rdpc/bitstream/10174/38522/1/Gal%C3%A3o%20et%20al_2025_When%20pets%20go%20wild.pdf" TargetMode="External"/><Relationship Id="rId7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