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Animais de companhia e atividade pecuária</w:t>
      </w:r>
    </w:p>
    <w:p>
      <w:pPr>
        <w:spacing w:after="320"/>
      </w:pPr>
      <w:r>
        <w:rPr>
          <w:i/>
          <w:sz w:val="19"/>
        </w:rPr>
        <w:t>Observações ao projeto de DL das atividades económicas (versão de 25.9.2026), à consideração. V.2.</w:t>
      </w:r>
    </w:p>
    <w:p>
      <w:r>
        <w:t>Ao ler a definição de atividade pecuária, na alínea c) do artigo 48.º do anexo, ficámos com uma dúvida que preferimos colocar do que deixar passar.</w:t>
      </w:r>
    </w:p>
    <w:p>
      <w:r>
        <w:t>A definição exclui a apicultura. Até à versão de 21 de setembro excluía também os animais de companhia, e essa parte foi retirada. Ficou a frase «com exceção da apicultura eem:», o que parece indicar que a eliminação não foi relida.</w:t>
      </w:r>
    </w:p>
    <w:p>
      <w:r>
        <w:t>A dúvida é simples: pretendeu-se mesmo que a criação e a detenção de animais de companhia passem a ser atividade pecuária? Perguntamos porque o regime em vigor diz o contrário. O Decreto-Lei n.º 81/2013 afasta do seu âmbito a apicultura e os animais de companhia, e no projeto só a apicultura ficou.</w:t>
      </w:r>
    </w:p>
    <w:p>
      <w:r>
        <w:t>E perguntamos também porque a alínea anterior mantém a referência à produção de animais destinados a animais de companhia. Sozinha, sem a exclusão que a acompanhava, essa referência pode levar a que um coelho ou um hamster detidos por gosto sejam tratados como efetivo pecuário, com registo no SNIRA, quando é no Decreto-Lei n.º 276/2001 que estão as regras de alojamento dessas espécies, incluindo as medidas das caixas.</w:t>
      </w:r>
    </w:p>
    <w:p>
      <w:r>
        <w:t>Se não foi essa a intenção, basta repor a exclusão, ou dizer de outro modo que os animais detidos apenas para companhia não entram aqui. Ficamos ao dispor para ajudar na redação. E convém, em qualquer caso, corrigir o «eem».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