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5"/>
        </w:rPr>
        <w:t>Animais errantes e centros de recolha oficial</w:t>
      </w:r>
    </w:p>
    <w:p>
      <w:pPr>
        <w:spacing w:after="320"/>
      </w:pPr>
      <w:r>
        <w:rPr>
          <w:i/>
          <w:sz w:val="19"/>
        </w:rPr>
        <w:t>Projeto de DL das atividades económicas, versão de 25.9.2026. À consideração.</w:t>
      </w:r>
    </w:p>
    <w:p>
      <w:r>
        <w:t>Sobre a questão de incluir neste diploma a recolha de animais errantes de todas as espécies, deixamos o que esta área tem a oferecer em concreto e os aspetos que nos parece importante ressalvar.</w:t>
      </w:r>
    </w:p>
    <w:p>
      <w:r>
        <w:t>O artigo 59.º já remete para o bem-estar animal, mas o parâmetro não existe para estas espécies. O n.º 4 faz depender a restituição do «cumprimento das medidas sanitárias e de bem-estar animal determinadas pela autoridade competente», e o n.º 5 manda determinar o destino do animal «observadas as normas relativas à identificação, registo, circulação, sanidade e bem-estar animal». Para cães e gatos essas normas existem, no Decreto-Lei n.º 276/2001 e na Portaria n.º 146/2017. Para as espécies pecuárias alojadas numa instalação municipal não existem: o n.º 2 do artigo 1.º do Decreto-Lei n.º 276/2001 exclui do seu âmbito «as espécies de pecuária», e o artigo 2.º da Portaria n.º 146/2017 circunscreve o regime dos centros de recolha às espécies da Parte A do Anexo I do Regulamento (UE) 2016/429, ou seja, ao cão, ao gato e ao furão.</w:t>
      </w:r>
    </w:p>
    <w:p>
      <w:r>
        <w:t>É esta a lacuna que nos parece dever ficar ressalvada, e é também o contributo que podemos dar. Uma norma técnica de alojamento para estas espécies teria de fixar, no mínimo: áreas e dimensões por espécie e por fase de desenvolvimento; separação entre espécies incompatíveis, incluindo o isolamento visual, sonoro e olfativo entre presas e predadores; quarentena e biossegurança à entrada, uma vez que o animal chega sem identificação e sem exploração de origem conhecida; alimentação e abeberamento próprios da espécie; meios de contenção e de maneio seguro; e lotação máxima determinada pelos recursos efetivos da instalação. Deixamos ainda uma nota de dimensionamento: o compartimento para outras espécies previsto nos Avisos de financiamento tem área mínima de três metros quadrados por animal, medida pensada para espécies de pequeno porte e insuficiente para um equídeo ou um bovino. O valor não pode ser transposto sem revisão.</w:t>
      </w:r>
    </w:p>
    <w:p>
      <w:r>
        <w:t>A resposta física não seria, em todo o caso, inteiramente nova. Desde o Despacho n.º 3321/2018 até ao Aviso n.º 1/2025, um compartimento para outras espécies foi requisito mínimo de construção de um CRO municipal e item financiado, com apoio que evoluiu de 1.300 € para 1 537,02 €. Manteve-se oito anos, primeiro sob o ICNF e depois sob a DGAV. Não consta do Aviso n.º 1/2026 e pode ser reposto por via administrativa.</w:t>
      </w:r>
    </w:p>
    <w:p>
      <w:r>
        <w:t>A instalação de destino determina o regime aplicável ao animal, e a escolha não é indiferente. Entregue o animal a um centro de recolha oficial, aplica-se a Lei n.º 27/2016, que é espécie-neutra, uma vez que fala em «centros de recolha oficial de animais», com a presunção de abandono, a esterilização obrigatória, o encaminhamento para adoção e a proibição do abate como forma de controlo da população. O n.º 4 do artigo 57.º, para os animais apreendidos em exploração, aponta em sentido oposto: matadouro, se aprovados para consumo, ou destruição. Como o artigo 59.º não identifica instalação alguma, a consequência fica em aberto. Parece-nos matéria a esclarecer expressamente.</w:t>
      </w:r>
    </w:p>
    <w:p>
      <w:r>
        <w:t>A qualificação da própria instalação merece atenção. A alínea b) do artigo 48.º inclui o equídeo e o leporídeo na definição de animal de espécie pecuária, e os limiares do diploma assentam em cabeças normais, cuja tabela de equivalências o Anexo V ainda não contém. Não nos é, por isso, possível determinar a partir de que efetivo uma instalação que acolha animais recolhidos passaria a exercer atividade pecuária sujeita a título. A questão é prática e está documentada: o Projeto de Resolução n.º 82/XIV/1.ª registava que, na altura, «para se proceder à criação de um santuário de animais de quinta, é obrigatória a inscrição como exploração de animais de pecuária». Seria útil deixar claro que a instalação que recebe animais ao abrigo do artigo 59.º não exerce, por esse facto, atividade pecuária.</w:t>
      </w:r>
    </w:p>
    <w:p>
      <w:r>
        <w:t>As despesas ficam sem titular precisamente na hipótese que mais nos interessa. O n.º 3 e o n.º 6 do artigo 59.º imputam-nas ao proprietário ou detentor identificado, mas o n.º 5 regula o caso em que este não é conhecido. Nessa situação, o custo da permanência recai sobre quem detém o animal, isto é, sobre a instalação. É elemento a considerar na avaliação do encargo para a rede.</w:t>
      </w:r>
    </w:p>
    <w:p>
      <w:r>
        <w:t>Os prazos não coincidem. O n.º 1 do artigo 9.º do Decreto-Lei n.º 314/2003 fixa oito dias de permanência mínima; o n.º 1 do artigo 3.º da Lei n.º 27/2016 fixa quinze dias para a presunção de abandono; o n.º 3 do artigo 59.º fixa cinco dias úteis para a recolha pelo detentor. Recebendo a mesma instalação animais ao abrigo de regimes diferentes, correm prazos distintos em paralelo.</w:t>
      </w:r>
    </w:p>
    <w:p>
      <w:r>
        <w:t>Quanto à dimensão do problema, não há hoje base de medida. O Relatório de Atividades dos Centros de Recolha Oficial de 2025 refere que «alguns CRO têm ações realizadas com outras espécies», mas esses dados não foram considerados para os totais. A recolha dessa informação é algo que podemos assegurar.</w:t>
      </w:r>
    </w:p>
    <w:p>
      <w:r>
        <w:t>Uma nota de precisão: o centro de recolha oficial e o «centro de agrupamento» definido no artigo 48.º são figuras distintas, com regimes e finalidades próprias.</w:t>
      </w:r>
    </w:p>
    <w:p>
      <w:r>
        <w:t>Ficamos ao dispor para desenvolver qualquer destes pontos, em especial os critérios de alojamento.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