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5"/>
        </w:rPr>
        <w:t>Acesso de animais de companhia a estabelecimentos</w:t>
      </w:r>
    </w:p>
    <w:p>
      <w:pPr>
        <w:spacing w:after="320"/>
      </w:pPr>
      <w:r>
        <w:rPr>
          <w:i/>
          <w:sz w:val="19"/>
        </w:rPr>
        <w:t>Projeto de DL das atividades económicas, versão de 25.9.2026. À consideração.</w:t>
      </w:r>
    </w:p>
    <w:p>
      <w:r>
        <w:t>O artigo permite a permanência de animais de companhia em espaços fechados, mediante autorização da entidade exploradora manifestada por dístico à entrada, com trela curta ou acondicionamento adequado, sem circulação livre e com proibição total de permanência nas zonas da área de serviço e junto aos locais onde estão expostos alimentos para venda. Deixamos quatro notas.</w:t>
      </w:r>
    </w:p>
    <w:p>
      <w:r>
        <w:t>A primeira, nos cães de assistência. O Decreto-Lei n.º 74/2007, de 27 de março, não consagra uma permissão de permanência: consagra um direito de acesso que, nos termos do n.º 1 do seu artigo 3.º, «prevalece sobre quaisquer proibições ou limitações que contrariem o disposto no presente decreto-lei, ainda que assinaladas por placas ou outros sinais distintivos». Os estabelecimentos de comércio e os da restauração e do turismo constam expressamente das alíneas i) e j) do artigo 2.º. Daí três consequências: o dístico não é oponível ao cão de assistência; o direito assiste à pessoa com deficiência ou ao treinador habilitado, e não ao «portador»; e a recusa só é admissível nos termos do n.º 3 do artigo 3.º daquele diploma, por sinais manifestos de doença, agressividade ou falta de higiene, e não pelo critério do normal funcionamento do estabelecimento. Sugere-se ressalvar expressamente o Decreto-Lei n.º 74/2007 e excluir os cães de assistência do regime de autorização e de recusa deste artigo.</w:t>
      </w:r>
    </w:p>
    <w:p>
      <w:r>
        <w:t>A segunda, nos cães perigosos e potencialmente perigosos. O n.º 2 do artigo 13.º do Decreto-Lei n.º 315/2009, de 29 de outubro, exige, para estes animais, «açaimo funcional que não permita comer nem morder e, neste caso, devidamente seguro com trela curta até 1 m de comprimento, que deve estar fixa a coleira ou a peitoral». A referência do projeto a trela curta, sem medida e sem açaimo, fica abaixo desse padrão. Sugere-se ressalvar o Decreto-Lei n.º 315/2009, para que não se gere dúvida sobre qual das duas normas prevalece no interior do estabelecimento.</w:t>
      </w:r>
    </w:p>
    <w:p>
      <w:r>
        <w:t>A terceira, na higiene dos alimentos. A proibição está circunscrita às zonas da área de serviço e aos locais de exposição de alimentos para venda, ficando de fora as zonas de preparação e de armazenagem. O Regulamento (CE) n.º 852/2004 impõe procedimentos que impeçam o acesso de animais domésticos aos locais onde os alimentos são preparados, manuseados ou armazenados, salvo autorização da autoridade competente. Convirá alinhar a alínea com esse âmbito, mais largo. (Citação exata a confirmar no Anexo II, Capítulo IX, do Regulamento.)</w:t>
      </w:r>
    </w:p>
    <w:p>
      <w:r>
        <w:t>A quarta, no que o artigo não exige. A permanência é admitida sem qualquer referência à identificação eletrónica e ao registo, obrigatórios nos termos do Decreto-Lei n.º 82/2019, de 27 de junho, nem à vacinação antirrábica válida. São condições que a lei já impõe à circulação do animal e cuja remissão, aqui, seria útil. Assinala-se também que o artigo está construído na perspetiva do funcionamento do estabelecimento e não contempla o bem-estar do próprio animal durante a permanência. Ficamos ao dispor para ajudar na redação.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