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555555"/>
          <w:sz w:val="19"/>
        </w:rPr>
        <w:t>DIREÇÃO-GERAL DE ALIMENTAÇÃO E VETERINÁRIA</w:t>
      </w:r>
    </w:p>
    <w:p>
      <w:pPr>
        <w:spacing w:after="200"/>
      </w:pPr>
      <w:r>
        <w:rPr>
          <w:b w:val="0"/>
          <w:color w:val="555555"/>
          <w:sz w:val="19"/>
        </w:rPr>
        <w:t>Direção de Serviços de Bem-Estar Animal</w:t>
      </w:r>
    </w:p>
    <w:p>
      <w:r>
        <w:rPr>
          <w:b/>
          <w:color w:val="1F3B63"/>
          <w:sz w:val="28"/>
        </w:rPr>
        <w:t>Apoio à síntese das reservas à proposta OMV/ANVETEM</w:t>
      </w:r>
    </w:p>
    <w:p>
      <w:pPr>
        <w:spacing w:after="160"/>
        <w:jc w:val="both"/>
      </w:pPr>
      <w:r>
        <w:rPr>
          <w:b w:val="0"/>
          <w:color w:val="555555"/>
          <w:sz w:val="19"/>
        </w:rPr>
        <w:t>Para cada frase da síntese: palavras, secções da análise v2.1 que colige, notas manuscritas ao ficheiro anotado (numeração do documento de avaliação das notas), bases legais e recomendações da análise associadas. A numeração R é lida da própria análise v2.1. Documento de trabalho, 14.10.2026.</w:t>
      </w:r>
    </w:p>
    <w:p>
      <w:pPr>
        <w:keepNext/>
        <w:spacing w:before="240" w:after="120"/>
      </w:pPr>
      <w:r>
        <w:rPr>
          <w:b/>
          <w:color w:val="1F3B63"/>
          <w:sz w:val="25"/>
        </w:rPr>
        <w:t>1. Correspondência frase a frase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567"/>
        <w:gridCol w:w="2948"/>
        <w:gridCol w:w="1587"/>
        <w:gridCol w:w="4762"/>
        <w:gridCol w:w="4195"/>
      </w:tblGrid>
      <w:tr>
        <w:trPr>
          <w:tblHeader w:val="true"/>
        </w:trPr>
        <w:tc>
          <w:tcPr>
            <w:tcW w:type="dxa" w:w="680"/>
          </w:tcPr>
          <w:p>
            <w:r/>
            <w:r>
              <w:rPr>
                <w:b/>
                <w:color w:val="1F3B63"/>
                <w:sz w:val="18"/>
              </w:rPr>
              <w:t>Frase</w:t>
            </w:r>
          </w:p>
        </w:tc>
        <w:tc>
          <w:tcPr>
            <w:tcW w:type="dxa" w:w="567"/>
          </w:tcPr>
          <w:p>
            <w:r/>
            <w:r>
              <w:rPr>
                <w:b/>
                <w:color w:val="1F3B63"/>
                <w:sz w:val="18"/>
              </w:rPr>
              <w:t>Pal.</w:t>
            </w:r>
          </w:p>
        </w:tc>
        <w:tc>
          <w:tcPr>
            <w:tcW w:type="dxa" w:w="2948"/>
          </w:tcPr>
          <w:p>
            <w:r/>
            <w:r>
              <w:rPr>
                <w:b/>
                <w:color w:val="1F3B63"/>
                <w:sz w:val="18"/>
              </w:rPr>
              <w:t>Secções da análise v2.1</w:t>
            </w:r>
          </w:p>
        </w:tc>
        <w:tc>
          <w:tcPr>
            <w:tcW w:type="dxa" w:w="1587"/>
          </w:tcPr>
          <w:p>
            <w:r/>
            <w:r>
              <w:rPr>
                <w:b/>
                <w:color w:val="1F3B63"/>
                <w:sz w:val="18"/>
              </w:rPr>
              <w:t>Notas</w:t>
            </w:r>
          </w:p>
        </w:tc>
        <w:tc>
          <w:tcPr>
            <w:tcW w:type="dxa" w:w="4762"/>
          </w:tcPr>
          <w:p>
            <w:r/>
            <w:r>
              <w:rPr>
                <w:b/>
                <w:color w:val="1F3B63"/>
                <w:sz w:val="18"/>
              </w:rPr>
              <w:t>Bases legais</w:t>
            </w:r>
          </w:p>
        </w:tc>
        <w:tc>
          <w:tcPr>
            <w:tcW w:type="dxa" w:w="4195"/>
          </w:tcPr>
          <w:p>
            <w:r/>
            <w:r>
              <w:rPr>
                <w:b/>
                <w:color w:val="1F3B63"/>
                <w:sz w:val="18"/>
              </w:rPr>
              <w:t>Recomendações da análise</w:t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A1</w:t>
            </w:r>
          </w:p>
        </w:tc>
        <w:tc>
          <w:tcPr>
            <w:tcW w:type="dxa" w:w="567"/>
          </w:tcPr>
          <w:p>
            <w:pPr>
              <w:spacing w:after="20"/>
            </w:pPr>
            <w:r/>
            <w:r>
              <w:rPr>
                <w:sz w:val="17"/>
              </w:rPr>
              <w:t>54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sz w:val="17"/>
              </w:rPr>
              <w:t>1.1; 4.2 (vias V1 a V7); 4.4, n); 3.3 (ponto 4.5)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sz w:val="17"/>
              </w:rPr>
              <w:t>DL 276/2001, arts. 3.º-G e 19.º; Lei 92/95, art. 1.º-A; CPP, arts. 178.º e 186.º; RJCE, arts. 48.º a 50.º; DL 314/2003, art. 3.º; DL 315/2009, art. 39.º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7"/>
              </w:rPr>
              <w:t>R3 (Completar a base legal)</w:t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A2</w:t>
            </w:r>
          </w:p>
        </w:tc>
        <w:tc>
          <w:tcPr>
            <w:tcW w:type="dxa" w:w="567"/>
          </w:tcPr>
          <w:p>
            <w:pPr>
              <w:spacing w:after="20"/>
            </w:pPr>
            <w:r/>
            <w:r>
              <w:rPr>
                <w:sz w:val="17"/>
              </w:rPr>
              <w:t>48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sz w:val="17"/>
              </w:rPr>
              <w:t>4.1; 4.4, o)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7"/>
              </w:rPr>
              <w:t>2, 8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sz w:val="17"/>
              </w:rPr>
              <w:t>DL 276/2001, art. 3.º-G, n.º 1, als. a) e d); DL 314/2003, art. 3.º, n.º 1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7"/>
              </w:rPr>
              <w:t>R14 (Âmbito completo)</w:t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A3</w:t>
            </w:r>
          </w:p>
        </w:tc>
        <w:tc>
          <w:tcPr>
            <w:tcW w:type="dxa" w:w="567"/>
          </w:tcPr>
          <w:p>
            <w:pPr>
              <w:spacing w:after="20"/>
            </w:pPr>
            <w:r/>
            <w:r>
              <w:rPr>
                <w:sz w:val="17"/>
              </w:rPr>
              <w:t>53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sz w:val="17"/>
              </w:rPr>
              <w:t>4.4, u); 3.3 (ponto 1.5)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7"/>
              </w:rPr>
              <w:t>9, 12; decisões de 14.10.2026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sz w:val="17"/>
              </w:rPr>
              <w:t>Proposta, pontos 1.2, 1.5 e 11.3; DL 314/2003, arts. 3.º, 8.º e 9.º; DL 315/2009, arts. 14.º e 39.º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7"/>
              </w:rPr>
              <w:t>R15 (Ponto 1.5)</w:t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A4</w:t>
            </w:r>
          </w:p>
        </w:tc>
        <w:tc>
          <w:tcPr>
            <w:tcW w:type="dxa" w:w="567"/>
          </w:tcPr>
          <w:p>
            <w:pPr>
              <w:spacing w:after="20"/>
            </w:pPr>
            <w:r/>
            <w:r>
              <w:rPr>
                <w:sz w:val="17"/>
              </w:rPr>
              <w:t>46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sz w:val="17"/>
              </w:rPr>
              <w:t>4.4, j); 4.4, u) (questão em aberto); 4.5, A7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7"/>
              </w:rPr>
              <w:t>decisão de 14.10.2026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sz w:val="17"/>
              </w:rPr>
              <w:t>DL 314/2003, art. 3.º, n.º 5; RCM 78/2021, al. h)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7"/>
              </w:rPr>
              <w:t>R11 (Acumulação de animais); R15 (Ponto 1.5)</w:t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A5</w:t>
            </w:r>
          </w:p>
        </w:tc>
        <w:tc>
          <w:tcPr>
            <w:tcW w:type="dxa" w:w="567"/>
          </w:tcPr>
          <w:p>
            <w:pPr>
              <w:spacing w:after="20"/>
            </w:pPr>
            <w:r/>
            <w:r>
              <w:rPr>
                <w:sz w:val="17"/>
              </w:rPr>
              <w:t>54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sz w:val="17"/>
              </w:rPr>
              <w:t>1.1; 4.4, a) e d)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7"/>
              </w:rPr>
              <w:t>5, 16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sz w:val="17"/>
              </w:rPr>
              <w:t>CPP, art. 186.º; DL 314/2003, arts. 3.º e 9.º; RJCE, art. 50.º; DL 276/2001, art. 19.º, n.º 9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7"/>
              </w:rPr>
              <w:t>R2 (Matriz de liderança e de destino por via legal)</w:t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A6</w:t>
            </w:r>
          </w:p>
        </w:tc>
        <w:tc>
          <w:tcPr>
            <w:tcW w:type="dxa" w:w="567"/>
          </w:tcPr>
          <w:p>
            <w:pPr>
              <w:spacing w:after="20"/>
            </w:pPr>
            <w:r/>
            <w:r>
              <w:rPr>
                <w:sz w:val="17"/>
              </w:rPr>
              <w:t>51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sz w:val="17"/>
              </w:rPr>
              <w:t>4.4, b), c) e d)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7"/>
              </w:rPr>
              <w:t>17, 34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sz w:val="17"/>
              </w:rPr>
              <w:t>RJCE, art. 49.º; CPP, art. 178.º, n.º 2; Regulamento (UE) 2026/1818, art. 4.º, al. s)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7"/>
              </w:rPr>
              <w:t>R4 (Novos modelos)</w:t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A7</w:t>
            </w:r>
          </w:p>
        </w:tc>
        <w:tc>
          <w:tcPr>
            <w:tcW w:type="dxa" w:w="567"/>
          </w:tcPr>
          <w:p>
            <w:pPr>
              <w:spacing w:after="20"/>
            </w:pPr>
            <w:r/>
            <w:r>
              <w:rPr>
                <w:sz w:val="17"/>
              </w:rPr>
              <w:t>52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sz w:val="17"/>
              </w:rPr>
              <w:t>4.4, e) e i); 4.5, A2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sz w:val="17"/>
              </w:rPr>
              <w:t>Lei 27/2016, art. 3.º, n.º 1; DL 82/2019, arts. 8.º, n.ºs 4 e 5, e 11.º, n.º 5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7"/>
              </w:rPr>
              <w:t>R8 (SIAC); R9 (Orientação interpretativa sobre a presunção de 15 dias)</w:t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A8</w:t>
            </w:r>
          </w:p>
        </w:tc>
        <w:tc>
          <w:tcPr>
            <w:tcW w:type="dxa" w:w="567"/>
          </w:tcPr>
          <w:p>
            <w:pPr>
              <w:spacing w:after="20"/>
            </w:pPr>
            <w:r/>
            <w:r>
              <w:rPr>
                <w:sz w:val="17"/>
              </w:rPr>
              <w:t>49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sz w:val="17"/>
              </w:rPr>
              <w:t>4.4, f) e r)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7"/>
              </w:rPr>
              <w:t>32, 33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sz w:val="17"/>
              </w:rPr>
              <w:t>Lei 27/2016, art. 3.º, n.º 6; CPP, art. 159.º-A; Regulamento (CE) 1069/2009, arts. 8.º e 19.º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7"/>
              </w:rPr>
              <w:t>R10 (Eutanásia); R19 (Cadáveres)</w:t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A9</w:t>
            </w:r>
          </w:p>
        </w:tc>
        <w:tc>
          <w:tcPr>
            <w:tcW w:type="dxa" w:w="567"/>
          </w:tcPr>
          <w:p>
            <w:pPr>
              <w:spacing w:after="20"/>
            </w:pPr>
            <w:r/>
            <w:r>
              <w:rPr>
                <w:sz w:val="17"/>
              </w:rPr>
              <w:t>48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sz w:val="17"/>
              </w:rPr>
              <w:t>4.4, s); 4.5, A9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7"/>
              </w:rPr>
              <w:t>38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sz w:val="17"/>
              </w:rPr>
              <w:t>Regulamento (CE) 1/2005, art. 1.º, n.º 5; DL 265/2007; DL 276/2001, art. 10.º, n.º 1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7"/>
              </w:rPr>
              <w:t>R20 (Transporte)</w:t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B1</w:t>
            </w:r>
          </w:p>
        </w:tc>
        <w:tc>
          <w:tcPr>
            <w:tcW w:type="dxa" w:w="567"/>
          </w:tcPr>
          <w:p>
            <w:pPr>
              <w:spacing w:after="20"/>
            </w:pPr>
            <w:r/>
            <w:r>
              <w:rPr>
                <w:sz w:val="17"/>
              </w:rPr>
              <w:t>48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sz w:val="17"/>
              </w:rPr>
              <w:t>Novo: não consta da análise v2.1 (observação de 14.10.2026)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sz w:val="17"/>
              </w:rPr>
              <w:t>Lei 38/2026 (LBPC, art. 4.º, n.º 2, al. e): «busca, salvamento, prestação de socorro e de assistência»); proposta, tipologia D e pontos 6.1 e 6.2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B2</w:t>
            </w:r>
          </w:p>
        </w:tc>
        <w:tc>
          <w:tcPr>
            <w:tcW w:type="dxa" w:w="567"/>
          </w:tcPr>
          <w:p>
            <w:pPr>
              <w:spacing w:after="20"/>
            </w:pPr>
            <w:r/>
            <w:r>
              <w:rPr>
                <w:sz w:val="17"/>
              </w:rPr>
              <w:t>53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sz w:val="17"/>
              </w:rPr>
              <w:t>5.4, a)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7"/>
              </w:rPr>
              <w:t>22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sz w:val="17"/>
              </w:rPr>
              <w:t>SIOPS, arts. 3.º, 4.º, 9.º, 10.º e 12.º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7"/>
              </w:rPr>
              <w:t>R24 (Reescrever a tipologia D)</w:t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B3</w:t>
            </w:r>
          </w:p>
        </w:tc>
        <w:tc>
          <w:tcPr>
            <w:tcW w:type="dxa" w:w="567"/>
          </w:tcPr>
          <w:p>
            <w:pPr>
              <w:spacing w:after="20"/>
            </w:pPr>
            <w:r/>
            <w:r>
              <w:rPr>
                <w:sz w:val="17"/>
              </w:rPr>
              <w:t>46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sz w:val="17"/>
              </w:rPr>
              <w:t>5.4, j)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7"/>
              </w:rPr>
              <w:t>20, 30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sz w:val="17"/>
              </w:rPr>
              <w:t>Código Penal, art. 34.º; SIOPS, art. 13.º, al. d)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7"/>
              </w:rPr>
              <w:t>R34 (Retirar do módulo B o mandado prévio e a observação antes da saída)</w:t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B4</w:t>
            </w:r>
          </w:p>
        </w:tc>
        <w:tc>
          <w:tcPr>
            <w:tcW w:type="dxa" w:w="567"/>
          </w:tcPr>
          <w:p>
            <w:pPr>
              <w:spacing w:after="20"/>
            </w:pPr>
            <w:r/>
            <w:r>
              <w:rPr>
                <w:sz w:val="17"/>
              </w:rPr>
              <w:t>53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sz w:val="17"/>
              </w:rPr>
              <w:t>5.4, k)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7"/>
              </w:rPr>
              <w:t>18, 19, 42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sz w:val="17"/>
              </w:rPr>
              <w:t>LBPC, art. 41.º, als. j) e k); SIOPS, arts. 10.º, n.º 1, als. g) e p), e 14.º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7"/>
              </w:rPr>
              <w:t>R35 (Retirar a comunicação prévia e o relatório à comissão municipal)</w:t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B5</w:t>
            </w:r>
          </w:p>
        </w:tc>
        <w:tc>
          <w:tcPr>
            <w:tcW w:type="dxa" w:w="567"/>
          </w:tcPr>
          <w:p>
            <w:pPr>
              <w:spacing w:after="20"/>
            </w:pPr>
            <w:r/>
            <w:r>
              <w:rPr>
                <w:sz w:val="17"/>
              </w:rPr>
              <w:t>45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sz w:val="17"/>
              </w:rPr>
              <w:t>5.2; 5.4, h); 5.5, B7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7"/>
              </w:rPr>
              <w:t>7, 15, 39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sz w:val="17"/>
              </w:rPr>
              <w:t>LBPC, art. 46.º-A; Portaria 91/2017, arts. 2.º, 3.º e 5.º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7"/>
              </w:rPr>
              <w:t>R32 (Organizações de voluntariado de proteção civil); R33 (Propor à ANEPC a atualização da Portaria n.º 91/2017)</w:t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B6</w:t>
            </w:r>
          </w:p>
        </w:tc>
        <w:tc>
          <w:tcPr>
            <w:tcW w:type="dxa" w:w="567"/>
          </w:tcPr>
          <w:p>
            <w:pPr>
              <w:spacing w:after="20"/>
            </w:pPr>
            <w:r/>
            <w:r>
              <w:rPr>
                <w:sz w:val="17"/>
              </w:rPr>
              <w:t>52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sz w:val="17"/>
              </w:rPr>
              <w:t>5.4, d), e) e i)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sz w:val="17"/>
              </w:rPr>
              <w:t>DL 82/2019, art. 8.º, n.º 2; Lei 27/2016, art. 3.º, n.º 1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7"/>
              </w:rPr>
              <w:t>R27 (Protocolo de reunificação no SIAC); R31 (Cláusula de passagem do socorro à retirada)</w:t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B7</w:t>
            </w:r>
          </w:p>
        </w:tc>
        <w:tc>
          <w:tcPr>
            <w:tcW w:type="dxa" w:w="567"/>
          </w:tcPr>
          <w:p>
            <w:pPr>
              <w:spacing w:after="20"/>
            </w:pPr>
            <w:r/>
            <w:r>
              <w:rPr>
                <w:sz w:val="17"/>
              </w:rPr>
              <w:t>52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sz w:val="17"/>
              </w:rPr>
              <w:t>5.4, b), c), f) e g)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sz w:val="17"/>
              </w:rPr>
              <w:t>LBPC, arts. 37.º e 39.º; SIOPS, arts. 3.º e 4.º (Lei 38/2026); Lei 65/2007, art. 2.º, n.º 2, al. e); Lei 27/2016, art. 3.º, n.º 6; DL 276/2001, art. 11.º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7"/>
              </w:rPr>
              <w:t>R25 (Despacho interno de designação); R26 (Proposta de critérios técnicos); R28 (Partilha da lista de alojamentos); R29 (Orientação técnica sobre eutanásia no terreno)</w:t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C1</w:t>
            </w:r>
          </w:p>
        </w:tc>
        <w:tc>
          <w:tcPr>
            <w:tcW w:type="dxa" w:w="567"/>
          </w:tcPr>
          <w:p>
            <w:pPr>
              <w:spacing w:after="20"/>
            </w:pPr>
            <w:r/>
            <w:r>
              <w:rPr>
                <w:sz w:val="17"/>
              </w:rPr>
              <w:t>52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sz w:val="17"/>
              </w:rPr>
              <w:t>3.1; 4.4, m)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sz w:val="17"/>
              </w:rPr>
              <w:t>DL 116/98, art. 4.º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7"/>
              </w:rPr>
              <w:t>R1 (Aceitar o grupo de trabalho); R5 (Cláusula de salvaguarda)</w:t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C2</w:t>
            </w:r>
          </w:p>
        </w:tc>
        <w:tc>
          <w:tcPr>
            <w:tcW w:type="dxa" w:w="567"/>
          </w:tcPr>
          <w:p>
            <w:pPr>
              <w:spacing w:after="20"/>
            </w:pPr>
            <w:r/>
            <w:r>
              <w:rPr>
                <w:sz w:val="17"/>
              </w:rPr>
              <w:t>45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sz w:val="17"/>
              </w:rPr>
              <w:t>3.3; 3.4; 3.5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7"/>
              </w:rPr>
              <w:t>1, 10, 11, 13, 21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sz w:val="17"/>
              </w:rPr>
              <w:t>DL 276/2001, art. 1.º, n.º 2; LBPC, art. 41.º, al. k)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7"/>
              </w:rPr>
              <w:t>R13 (Termos da lei)</w:t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C3</w:t>
            </w:r>
          </w:p>
        </w:tc>
        <w:tc>
          <w:tcPr>
            <w:tcW w:type="dxa" w:w="567"/>
          </w:tcPr>
          <w:p>
            <w:pPr>
              <w:spacing w:after="20"/>
            </w:pPr>
            <w:r/>
            <w:r>
              <w:rPr>
                <w:sz w:val="17"/>
              </w:rPr>
              <w:t>55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sz w:val="17"/>
              </w:rPr>
              <w:t>4.4, p); 3.3 (ponto 6.1)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7"/>
              </w:rPr>
              <w:t>6, 14, 31; esclarecimento de 14.10.2026 (CAMV)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sz w:val="17"/>
              </w:rPr>
              <w:t>Lei 27/2016, art. 3.º, n.º 6; DL 276/2001, art. 4.º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7"/>
              </w:rPr>
              <w:t>R16 (Responsável clínico com CAMV)</w:t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C4</w:t>
            </w:r>
          </w:p>
        </w:tc>
        <w:tc>
          <w:tcPr>
            <w:tcW w:type="dxa" w:w="567"/>
          </w:tcPr>
          <w:p>
            <w:pPr>
              <w:spacing w:after="20"/>
            </w:pPr>
            <w:r/>
            <w:r>
              <w:rPr>
                <w:sz w:val="17"/>
              </w:rPr>
              <w:t>57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sz w:val="17"/>
              </w:rPr>
              <w:t>3.2; 3.3 (ponto 5.1.4); 3.6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7"/>
              </w:rPr>
              <w:t>23, 24, 25, 26, 27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sz w:val="17"/>
              </w:rPr>
              <w:t>DL 116/98, arts. 2.º, n.ºs 3 e 5, 3.º, n.º 1, e 4.º, n.ºs 3 e 4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7"/>
              </w:rPr>
              <w:t>R17 (Médico veterinário do município)</w:t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C5</w:t>
            </w:r>
          </w:p>
        </w:tc>
        <w:tc>
          <w:tcPr>
            <w:tcW w:type="dxa" w:w="567"/>
          </w:tcPr>
          <w:p>
            <w:pPr>
              <w:spacing w:after="20"/>
            </w:pPr>
            <w:r/>
            <w:r>
              <w:rPr>
                <w:sz w:val="17"/>
              </w:rPr>
              <w:t>47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sz w:val="17"/>
              </w:rPr>
              <w:t>4.4, g); 3.3 (pontos 8.8 e 9.5)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7"/>
              </w:rPr>
              <w:t>7, 37, 39, 40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sz w:val="17"/>
              </w:rPr>
              <w:t>DL 276/2001, arts. 3.º-A e 4.º; RCM 78/2021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7"/>
              </w:rPr>
              <w:t>R6 (Bolsa de entidades por protocolo); R21 (Bolsa de entidades: procedimento e custos)</w:t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C6</w:t>
            </w:r>
          </w:p>
        </w:tc>
        <w:tc>
          <w:tcPr>
            <w:tcW w:type="dxa" w:w="567"/>
          </w:tcPr>
          <w:p>
            <w:pPr>
              <w:spacing w:after="20"/>
            </w:pPr>
            <w:r/>
            <w:r>
              <w:rPr>
                <w:sz w:val="17"/>
              </w:rPr>
              <w:t>53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sz w:val="17"/>
              </w:rPr>
              <w:t>4.4, h)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7"/>
              </w:rPr>
              <w:t>36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sz w:val="17"/>
              </w:rPr>
              <w:t>Lei 92/95, arts. 9.º e 10.º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7"/>
              </w:rPr>
              <w:t>R7 (Comunicação)</w:t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C7</w:t>
            </w:r>
          </w:p>
        </w:tc>
        <w:tc>
          <w:tcPr>
            <w:tcW w:type="dxa" w:w="567"/>
          </w:tcPr>
          <w:p>
            <w:pPr>
              <w:spacing w:after="20"/>
            </w:pPr>
            <w:r/>
            <w:r>
              <w:rPr>
                <w:sz w:val="17"/>
              </w:rPr>
              <w:t>41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sz w:val="17"/>
              </w:rPr>
              <w:t>4.4, k) e l); 4.5, A3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7"/>
              </w:rPr>
              <w:t>35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sz w:val="17"/>
              </w:rPr>
              <w:t>DL 276/2001, art. 19.º, n.º 3; Lei 27/2016, art. 3.º, n.ºs 9 e 10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7"/>
              </w:rPr>
              <w:t>R12 (Proporcionalidade dos deveres da DGAV)</w:t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C8</w:t>
            </w:r>
          </w:p>
        </w:tc>
        <w:tc>
          <w:tcPr>
            <w:tcW w:type="dxa" w:w="567"/>
          </w:tcPr>
          <w:p>
            <w:pPr>
              <w:spacing w:after="20"/>
            </w:pPr>
            <w:r/>
            <w:r>
              <w:rPr>
                <w:sz w:val="17"/>
              </w:rPr>
              <w:t>48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sz w:val="17"/>
              </w:rPr>
              <w:t>4.4, q) e t); 5.4, l)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7"/>
              </w:rPr>
              <w:t>28, 29, 41, 43, 44, 45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sz w:val="17"/>
              </w:rPr>
              <w:t>Proposta, pontos 5.2.2, 5.2.4, 10.2, 10.4 e 11.4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7"/>
              </w:rPr>
              <w:t>R18 (Posto de triagem e equipa); R22 (Relatório e avaliação); R36 (Retirar números variáveis e esclarecer a comissão técnica da OMV)</w:t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C9</w:t>
            </w:r>
          </w:p>
        </w:tc>
        <w:tc>
          <w:tcPr>
            <w:tcW w:type="dxa" w:w="567"/>
          </w:tcPr>
          <w:p>
            <w:pPr>
              <w:spacing w:after="20"/>
            </w:pPr>
            <w:r/>
            <w:r>
              <w:rPr>
                <w:sz w:val="17"/>
              </w:rPr>
              <w:t>48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sz w:val="17"/>
              </w:rPr>
              <w:t>6.1; memorando do RGAC (fichas G-01, G-02, S-02, E-01)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sz w:val="17"/>
              </w:rPr>
              <w:t>Projeto de RGAC, arts. 91.º e 139.º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7"/>
              </w:rPr>
              <w:t>R23 (Levar ao RGAC as necessidades A1 a A10); R37 (Levar ao RGAC as necessidades B1, B2, B4 e B6)</w:t>
            </w:r>
          </w:p>
        </w:tc>
      </w:tr>
    </w:tbl>
    <w:p>
      <w:pPr>
        <w:spacing w:after="80"/>
      </w:pPr>
    </w:p>
    <w:p>
      <w:pPr>
        <w:keepNext/>
        <w:spacing w:before="240" w:after="120"/>
      </w:pPr>
      <w:r>
        <w:rPr>
          <w:b/>
          <w:color w:val="1F3B63"/>
          <w:sz w:val="25"/>
        </w:rPr>
        <w:t>2. Cobertura por parte</w:t>
      </w:r>
    </w:p>
    <w:p>
      <w:pPr>
        <w:spacing w:after="120"/>
      </w:pPr>
      <w:r>
        <w:rPr>
          <w:b w:val="0"/>
          <w:sz w:val="20"/>
        </w:rPr>
        <w:t>Parte A. Operações de recolha compulsiva (alojamentos, acumuladores e outras retiradas fora de emergência): 9 frases (A1, A2, A3, A4, A5, A6, A7, A8, A9); média de 51 palavras.</w:t>
      </w:r>
    </w:p>
    <w:p>
      <w:pPr>
        <w:spacing w:after="120"/>
      </w:pPr>
      <w:r>
        <w:rPr>
          <w:b w:val="0"/>
          <w:sz w:val="20"/>
        </w:rPr>
        <w:t>Parte B. Operações de salvamento e socorro: 7 frases (B1, B2, B3, B4, B5, B6, B7); média de 50 palavras.</w:t>
      </w:r>
    </w:p>
    <w:p>
      <w:pPr>
        <w:spacing w:after="120"/>
      </w:pPr>
      <w:r>
        <w:rPr>
          <w:b w:val="0"/>
          <w:sz w:val="20"/>
        </w:rPr>
        <w:t>Parte C. Tronco comum: 9 frases (C1, C2, C3, C4, C5, C6, C7, C8, C9); média de 50 palavras.</w:t>
      </w:r>
    </w:p>
    <w:p>
      <w:pPr>
        <w:keepNext/>
        <w:spacing w:before="240" w:after="120"/>
      </w:pPr>
      <w:r>
        <w:rPr>
          <w:b/>
          <w:color w:val="1F3B63"/>
          <w:sz w:val="25"/>
        </w:rPr>
        <w:t>3. Temas da análise v2.1 não coligidos nas frases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370"/>
        <w:gridCol w:w="5556"/>
      </w:tblGrid>
      <w:tr>
        <w:trPr>
          <w:tblHeader w:val="true"/>
        </w:trPr>
        <w:tc>
          <w:tcPr>
            <w:tcW w:type="dxa" w:w="1814"/>
          </w:tcPr>
          <w:p>
            <w:r/>
            <w:r>
              <w:rPr>
                <w:b/>
                <w:color w:val="1F3B63"/>
                <w:sz w:val="18"/>
              </w:rPr>
              <w:t>Secção</w:t>
            </w:r>
          </w:p>
        </w:tc>
        <w:tc>
          <w:tcPr>
            <w:tcW w:type="dxa" w:w="7370"/>
          </w:tcPr>
          <w:p>
            <w:r/>
            <w:r>
              <w:rPr>
                <w:b/>
                <w:color w:val="1F3B63"/>
                <w:sz w:val="18"/>
              </w:rPr>
              <w:t>Tema</w:t>
            </w:r>
          </w:p>
        </w:tc>
        <w:tc>
          <w:tcPr>
            <w:tcW w:type="dxa" w:w="5556"/>
          </w:tcPr>
          <w:p>
            <w:r/>
            <w:r>
              <w:rPr>
                <w:b/>
                <w:color w:val="1F3B63"/>
                <w:sz w:val="18"/>
              </w:rPr>
              <w:t>Porquê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2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sz w:val="17"/>
              </w:rPr>
              <w:t>Descrição do documento</w:t>
            </w:r>
          </w:p>
        </w:tc>
        <w:tc>
          <w:tcPr>
            <w:tcW w:type="dxa" w:w="5556"/>
          </w:tcPr>
          <w:p>
            <w:pPr>
              <w:spacing w:after="20"/>
            </w:pPr>
            <w:r/>
            <w:r>
              <w:rPr>
                <w:sz w:val="17"/>
              </w:rPr>
              <w:t>Descritivo; não é reserva.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4.3 e 5.3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sz w:val="17"/>
              </w:rPr>
              <w:t>O que a proposta resolve bem</w:t>
            </w:r>
          </w:p>
        </w:tc>
        <w:tc>
          <w:tcPr>
            <w:tcW w:type="dxa" w:w="5556"/>
          </w:tcPr>
          <w:p>
            <w:pPr>
              <w:spacing w:after="20"/>
            </w:pPr>
            <w:r/>
            <w:r>
              <w:rPr>
                <w:sz w:val="17"/>
              </w:rPr>
              <w:t>Excluído por instrução: só críticas.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3.3 (pontos 2 e 11.1)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sz w:val="17"/>
              </w:rPr>
              <w:t>Designação «ZCAA» em vez de «zona de concentração de acolhimento de animais»</w:t>
            </w:r>
          </w:p>
        </w:tc>
        <w:tc>
          <w:tcPr>
            <w:tcW w:type="dxa" w:w="5556"/>
          </w:tcPr>
          <w:p>
            <w:pPr>
              <w:spacing w:after="20"/>
            </w:pPr>
            <w:r/>
            <w:r>
              <w:rPr>
                <w:sz w:val="17"/>
              </w:rPr>
              <w:t>Gralha de designação, sem efeito de fundo.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3.3 (ponto 9.1)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sz w:val="17"/>
              </w:rPr>
              <w:t>Registo de associações zoófilas da RCM 78/2021 usado como requisito</w:t>
            </w:r>
          </w:p>
        </w:tc>
        <w:tc>
          <w:tcPr>
            <w:tcW w:type="dxa" w:w="5556"/>
          </w:tcPr>
          <w:p>
            <w:pPr>
              <w:spacing w:after="20"/>
            </w:pPr>
            <w:r/>
            <w:r>
              <w:rPr>
                <w:sz w:val="17"/>
              </w:rPr>
              <w:t>Absorvido em C5 (efeitos externos sem norma habilitante); não referido em separado.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3.3 (ponto 7.1)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sz w:val="17"/>
              </w:rPr>
              <w:t>«designadamente o seu abate» no art. 19.º, n.º 9, do DL 276/2001, hoje limitado pela Lei 27/2016</w:t>
            </w:r>
          </w:p>
        </w:tc>
        <w:tc>
          <w:tcPr>
            <w:tcW w:type="dxa" w:w="5556"/>
          </w:tcPr>
          <w:p>
            <w:pPr>
              <w:spacing w:after="20"/>
            </w:pPr>
            <w:r/>
            <w:r>
              <w:rPr>
                <w:sz w:val="17"/>
              </w:rPr>
              <w:t>Desatualização da lei, não da proposta.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3.3 (ponto 4.5)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sz w:val="17"/>
              </w:rPr>
              <w:t>Mandado judicial com base incompleta (art. 67.º-A; Lei 92/95; CPP; DL 315/2009, art. 30.º)</w:t>
            </w:r>
          </w:p>
        </w:tc>
        <w:tc>
          <w:tcPr>
            <w:tcW w:type="dxa" w:w="5556"/>
          </w:tcPr>
          <w:p>
            <w:pPr>
              <w:spacing w:after="20"/>
            </w:pPr>
            <w:r/>
            <w:r>
              <w:rPr>
                <w:sz w:val="17"/>
              </w:rPr>
              <w:t>Coligido só em parte, em A1 (bases omitidas).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4.4, i)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sz w:val="17"/>
              </w:rPr>
              <w:t>Suspensão cautelar do acesso do detentor ao SIAC (DL 82/2019, art. 8.º, n.º 5)</w:t>
            </w:r>
          </w:p>
        </w:tc>
        <w:tc>
          <w:tcPr>
            <w:tcW w:type="dxa" w:w="5556"/>
          </w:tcPr>
          <w:p>
            <w:pPr>
              <w:spacing w:after="20"/>
            </w:pPr>
            <w:r/>
            <w:r>
              <w:rPr>
                <w:sz w:val="17"/>
              </w:rPr>
              <w:t>Medida ao alcance da DGAV, não reserva à proposta.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4.5, A4, A6 e A8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sz w:val="17"/>
              </w:rPr>
              <w:t>Destino antecipado no processo penal; decisão do MVM sem dependência hierárquica em bem-estar; destino após encerramento</w:t>
            </w:r>
          </w:p>
        </w:tc>
        <w:tc>
          <w:tcPr>
            <w:tcW w:type="dxa" w:w="5556"/>
          </w:tcPr>
          <w:p>
            <w:pPr>
              <w:spacing w:after="20"/>
            </w:pPr>
            <w:r/>
            <w:r>
              <w:rPr>
                <w:sz w:val="17"/>
              </w:rPr>
              <w:t>Necessidades legislativas; em parte em C9.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5.4, b)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sz w:val="17"/>
              </w:rPr>
              <w:t>Critérios técnicos da componente animal dos planos municipais; alojamento conjunto de pessoas e animais</w:t>
            </w:r>
          </w:p>
        </w:tc>
        <w:tc>
          <w:tcPr>
            <w:tcW w:type="dxa" w:w="5556"/>
          </w:tcPr>
          <w:p>
            <w:pPr>
              <w:spacing w:after="20"/>
            </w:pPr>
            <w:r/>
            <w:r>
              <w:rPr>
                <w:sz w:val="17"/>
              </w:rPr>
              <w:t>Em parte em B7 (planeamento é municipal).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5.4, c)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sz w:val="17"/>
              </w:rPr>
              <w:t>Correspondência entre DSAVR e CCOR</w:t>
            </w:r>
          </w:p>
        </w:tc>
        <w:tc>
          <w:tcPr>
            <w:tcW w:type="dxa" w:w="5556"/>
          </w:tcPr>
          <w:p>
            <w:pPr>
              <w:spacing w:after="20"/>
            </w:pPr>
            <w:r/>
            <w:r>
              <w:rPr>
                <w:sz w:val="17"/>
              </w:rPr>
              <w:t>Questão interna de organização.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5.4, h)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sz w:val="17"/>
              </w:rPr>
              <w:t>Voluntários espontâneos</w:t>
            </w:r>
          </w:p>
        </w:tc>
        <w:tc>
          <w:tcPr>
            <w:tcW w:type="dxa" w:w="5556"/>
          </w:tcPr>
          <w:p>
            <w:pPr>
              <w:spacing w:after="20"/>
            </w:pPr>
            <w:r/>
            <w:r>
              <w:rPr>
                <w:sz w:val="17"/>
              </w:rPr>
              <w:t>Pormenor; cabe no módulo B quando for reescrito.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6.2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sz w:val="17"/>
              </w:rPr>
              <w:t>Regulamento (UE) 2026/1818: quem recebe animais confiscados será «abrigo» a partir de 31.8.2028</w:t>
            </w:r>
          </w:p>
        </w:tc>
        <w:tc>
          <w:tcPr>
            <w:tcW w:type="dxa" w:w="5556"/>
          </w:tcPr>
          <w:p>
            <w:pPr>
              <w:spacing w:after="20"/>
            </w:pPr>
            <w:r/>
            <w:r>
              <w:rPr>
                <w:sz w:val="17"/>
              </w:rPr>
              <w:t>Horizonte de 2028; não é reserva imediata.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7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sz w:val="17"/>
              </w:rPr>
              <w:t>Estrutura sugerida e próximos passos</w:t>
            </w:r>
          </w:p>
        </w:tc>
        <w:tc>
          <w:tcPr>
            <w:tcW w:type="dxa" w:w="5556"/>
          </w:tcPr>
          <w:p>
            <w:pPr>
              <w:spacing w:after="20"/>
            </w:pPr>
            <w:r/>
            <w:r>
              <w:rPr>
                <w:sz w:val="17"/>
              </w:rPr>
              <w:t>Propositivo; a síntese só assinala reservas.</w:t>
            </w:r>
          </w:p>
        </w:tc>
      </w:tr>
    </w:tbl>
    <w:p>
      <w:pPr>
        <w:spacing w:after="80"/>
      </w:pPr>
    </w:p>
    <w:p>
      <w:pPr>
        <w:keepNext/>
        <w:spacing w:before="240" w:after="120"/>
      </w:pPr>
      <w:r>
        <w:rPr>
          <w:b/>
          <w:color w:val="1F3B63"/>
          <w:sz w:val="25"/>
        </w:rPr>
        <w:t>4. Notas manuscritas sem frase própria</w:t>
      </w:r>
    </w:p>
    <w:p>
      <w:pPr>
        <w:spacing w:after="120"/>
        <w:jc w:val="both"/>
      </w:pPr>
      <w:r>
        <w:rPr>
          <w:b w:val="0"/>
          <w:sz w:val="20"/>
        </w:rPr>
        <w:t>Ficaram absorvidas noutras frases, sem menção autónoma: nota 3 (cenários 1 e 2, que estruturam as partes A e B); notas 24 e 25 (reduzidas, em C4, ao erro sobre o bem-estar); nota 35 (encargos, em C7). A frase B1 acrescenta uma observação que não constava da análise v2.1: a distinção entre salvamento e socorro quanto à presença veterinária.</w:t>
      </w:r>
    </w:p>
    <w:sectPr w:rsidR="00FC693F" w:rsidRPr="0006063C" w:rsidSect="00034616">
      <w:pgSz w:w="16838" w:h="11906" w:orient="landscape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