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55555"/>
          <w:sz w:val="19"/>
        </w:rPr>
        <w:t>DIREÇÃO-GERAL DE ALIMENTAÇÃO E VETERINÁRIA</w:t>
      </w:r>
    </w:p>
    <w:p>
      <w:pPr>
        <w:spacing w:after="240"/>
      </w:pPr>
      <w:r>
        <w:rPr>
          <w:b w:val="0"/>
          <w:color w:val="555555"/>
          <w:sz w:val="19"/>
        </w:rPr>
        <w:t>Direção de Serviços de Bem-Estar Animal</w:t>
      </w:r>
    </w:p>
    <w:p>
      <w:r>
        <w:rPr>
          <w:b/>
          <w:color w:val="1F3B63"/>
          <w:sz w:val="28"/>
        </w:rPr>
        <w:t>Proposta OMV/ANVETEM de procedimento-tipo de intervenção (v3.0, 26.8.2026)</w:t>
      </w:r>
    </w:p>
    <w:p>
      <w:pPr>
        <w:spacing w:after="160"/>
      </w:pPr>
      <w:r>
        <w:rPr>
          <w:b w:val="0"/>
          <w:color w:val="555555"/>
          <w:sz w:val="19"/>
        </w:rPr>
        <w:t>Síntese interna das reservas e incoerências. 25 frases, cada uma com no máximo 60 palavras. Base: análise v2.1, de 14.10.2026, e respetivo documento de apoio.</w:t>
      </w:r>
    </w:p>
    <w:p>
      <w:pPr>
        <w:keepNext/>
        <w:spacing w:before="240" w:after="120"/>
      </w:pPr>
      <w:r>
        <w:rPr>
          <w:b/>
          <w:color w:val="1F3B63"/>
          <w:sz w:val="25"/>
        </w:rPr>
        <w:t>Parte A. Operações de recolha compulsiva (alojamentos, acumuladores e outras retiradas fora de emergência)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A1</w:t>
        <w:tab/>
      </w:r>
      <w:r>
        <w:t>Assenta só no DL 276/2001 (arts. 19.º e 3.º-G), frágil para cães e gatos, que o n.º 10 do art. 19.º remete para «legislação própria», e omite as bases mais fortes: Lei 92/95 (art. 1.º-A), CPP (arts. 178.º e 186.º), RJCE (arts. 48.º a 50.º), DL 314/2003 (art. 3.º) e DL 315/2009 (art. 39.º).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A2</w:t>
        <w:tab/>
      </w:r>
      <w:r>
        <w:t>O âmbito (ponto 1.1 e tipologia A) omite os riscos higiossanitários e ambientais, fundamento expresso de suspensão, encerramento e remoção (DL 276/2001, art. 3.º-G, n.º 1, als. a) e d); DL 314/2003, art. 3.º, n.º 1), e não indica o art. 3.º-G como base para os alojamentos registados.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A3</w:t>
        <w:tab/>
      </w:r>
      <w:r>
        <w:t>O ponto 1.5 só exclui a captura «de rotina» de errantes, termo vago para norma técnica e sem critério, e deixa dentro, sem os nomear, a remoção por excesso ou insalubridade (DL 314/2003, art. 3.º) e todo o DL 315/2009; a recolha após agressão (art. 14.º) devia sair. «Umas e outras» é ambíguo.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A4</w:t>
        <w:tab/>
      </w:r>
      <w:r>
        <w:t>Os acumuladores ficam sem enquadramento: nada sobre a autoridade de saúde (vistoria conjunta do DL 314/2003, art. 3.º), a ação social (guia previsto na RCM 78/2021) ou a reincidência. Questão aos proponentes: que enquadramento propõem para estes casos e para a remoção por excesso ou insalubridade?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A5</w:t>
        <w:tab/>
      </w:r>
      <w:r>
        <w:t>A DGAV assume o comando e o destino de todas as operações em que participe (pontos 1.2, 4.2 e 7.5), sem título legal: no processo penal dirige o Ministério Público e decide a autoridade judiciária (CPP, art. 186.º); na remoção por insalubridade decidem a câmara e o MVM (DL 314/2003, arts. 3.º e 9.º).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A6</w:t>
        <w:tab/>
      </w:r>
      <w:r>
        <w:t>O CRO é o único destino previsto (ponto 7.1) e não há título para os animais que ficam no local nas operações faseadas; faltam o detentor como fiel depositário (RJCE, art. 49.º), o depositário idóneo (CPP, art. 178.º), abrigos de associações e lares de acolhimento, e a cedência voluntária no ato.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A7</w:t>
        <w:tab/>
      </w:r>
      <w:r>
        <w:t>Animais apreendidos que entrem em CRO ficam sujeitos à presunção de abandono aos 15 dias e ao registo em nome do CRO (Lei 27/2016, art. 3.º; DL 82/2019, art. 11.º), podendo ser dados para adoção antes da decisão da autoridade; a proposta não o trata nem prevê estado «sob apreensão» no SIAC.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A8</w:t>
        <w:tab/>
      </w:r>
      <w:r>
        <w:t>A triagem admite «eutanásia ou occisão» (ponto 6.2) com critério mais largo do que o legal (Lei 27/2016, art. 3.º, n.º 6) e sem proteger a prova: havendo processo penal, faltam comunicação ao Ministério Público e exame ou necropsia (CPP, art. 159.º-A), também antes de eliminar cadáveres (ponto 6.7).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A9</w:t>
        <w:tab/>
      </w:r>
      <w:r>
        <w:t>Exige autorização de transportador (ponto 9.1), que não se aplica a animais retirados por autoridades ou associações: o Regulamento (CE) 1/2005 exclui o transporte fora de atividade económica e o transporte direto para CAMV (art. 1.º, n.º 5). Basta o critério do DL 276/2001, art. 10.º, n.º 1.</w:t>
      </w:r>
    </w:p>
    <w:p>
      <w:pPr>
        <w:keepNext/>
        <w:spacing w:before="240" w:after="120"/>
      </w:pPr>
      <w:r>
        <w:rPr>
          <w:b/>
          <w:color w:val="1F3B63"/>
          <w:sz w:val="25"/>
        </w:rPr>
        <w:t>Parte B. Operações de salvamento e socorro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B1</w:t>
        <w:tab/>
      </w:r>
      <w:r>
        <w:t>Trata «busca, salvamento e socorro» como um só bloco (tipologia D). O salvamento retira o animal do perigo e não exige presença veterinária; o socorro presta cuidados e exige-a. Impor responsável clínico e triagem a todo o salvamento atrasa a operação e mobiliza veterinários onde não são indispensáveis.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B2</w:t>
        <w:tab/>
      </w:r>
      <w:r>
        <w:t>O comando único da autoridade veterinária e o porta-voz único (princípios 1 e 5; pontos 4 e 8.1) contrariam o SIOPS: no socorro comanda o COS, que também informa a comunicação social (arts. 9.º e 10.º). À DGAV cabe a coordenação no CCON e nos CCOR e a direção técnica do setor animal.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B3</w:t>
        <w:tab/>
      </w:r>
      <w:r>
        <w:t>Mandado judicial prévio (ponto 4.5) e observação individual antes da saída (ponto 5.2.4) são incompatíveis com uma emergência: a entrada justifica-se pelo perigo atual (Código Penal, art. 34.º) e a triagem faz-se depois, na zona de concentração de acolhimento de animais (SIOPS, art. 13.º, al. d)).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B4</w:t>
        <w:tab/>
      </w:r>
      <w:r>
        <w:t>A comunicação prévia e o relatório à comissão municipal de proteção civil (pontos 4.3 e 10.2) não têm base na Lei 38/2026, que quanto à comissão só altera a sua composição; no socorro a operação nasce e é relatada na cadeia do SIOPS, e os setores funcionais (ponto 4.2) são definidos pelo COS.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B5</w:t>
        <w:tab/>
      </w:r>
      <w:r>
        <w:t>A credenciação de entidades de socorro (ponto 9.1) ignora a figura legal própria: as organizações de voluntariado de proteção civil, reconhecidas pela ANEPC (Lei de Bases, art. 46.º-A; Portaria 91/2017), cuja portaria ainda só refere «pessoas e bens» e deve passar a incluir os animais.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B6</w:t>
        <w:tab/>
      </w:r>
      <w:r>
        <w:t>Aplica ao socorro o modelo da apreensão (fiel depositário, decisão de destino, reserva), quando o animal continua a ser do detentor. Faltam a reunificação via SIAC e a passagem para o regime de retirada quando o socorro revela maus-tratos; a presunção de abandono aos 15 dias pode fazer perder animais de desalojados.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B7</w:t>
        <w:tab/>
      </w:r>
      <w:r>
        <w:t>Omite os deveres da DGAV desde 8.8.2026 (representantes na Comissão Nacional, comissões distritais, CCON e CCOR), a eutanásia no terreno, hoje só admitida em CRO ou CAMV, e os planos de evacuação de CRO, abrigos e criadores; e põe a DGAV a planear o que é dever municipal (Lei 65/2007, art. 2.º).</w:t>
      </w:r>
    </w:p>
    <w:p>
      <w:pPr>
        <w:keepNext/>
        <w:spacing w:before="240" w:after="120"/>
      </w:pPr>
      <w:r>
        <w:rPr>
          <w:b/>
          <w:color w:val="1F3B63"/>
          <w:sz w:val="25"/>
        </w:rPr>
        <w:t>Parte C. Tronco comum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C1</w:t>
        <w:tab/>
      </w:r>
      <w:r>
        <w:t>Um despacho só vincula os serviços da DGAV: não obriga câmaras, MVM (dependentes do presidente da câmara, DL 116/98, art. 4.º), polícias, Ministério Público nem associações. Sem cláusula de que é norma interna, a exigência de documento prévio (ponto 4.1) pode ser invocada pela defesa contra atos praticados ao abrigo da lei.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C2</w:t>
        <w:tab/>
      </w:r>
      <w:r>
        <w:t>Usa termos sem correspondência legal («resgate», «retirada»), troca «salvamento» por «resgate» ao citar a Lei 38/2026 (ponto 9.1) e define a entidade coordenadora pelo DL 276/2001, que exclui as espécies pecuárias (art. 1.º, n.º 2), misturando quatro tipologias com bases legais diferentes num só texto.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C3</w:t>
        <w:tab/>
      </w:r>
      <w:r>
        <w:t>A responsabilidade clínica «indelegável» (ponto 6.1) é inviável para veterinário sem CAMV, porque a assistência exige instalações e a eutanásia só pode ser feita em CRO ou CAMV; não diz quem o designa, com que meios, nem quem o substitui, e remete para o art. 4.º do DL 276/2001, que trata do veterinário do alojamento.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C4</w:t>
        <w:tab/>
      </w:r>
      <w:r>
        <w:t>O ponto 5.1.4 ignora o veterinário contratado pelo município, que gere o CRO sem poderes de autoridade (DL 116/98, art. 2.º, n.º 3); «convocação» não tem sentido definido; e a nota dos proponentes erra ao dizer que o DL 116/98 não refere o bem-estar animal, que consta do dever de colaboração do MVM (art. 3.º, n.º 1).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C5</w:t>
        <w:tab/>
      </w:r>
      <w:r>
        <w:t>A credenciação, a lista anual e a suspensão ou exclusão de entidades (pontos 8.8, 9.3 e 9.5) criam efeitos externos sem norma habilitante, usam dois termos para a mesma sanção, não dizem quem decide nem o procedimento, e impõem seguro de responsabilidade civil sem fonte de financiamento.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C6</w:t>
        <w:tab/>
      </w:r>
      <w:r>
        <w:t>As regras de reserva e as proibições de imagens e de angariação de fundos (pontos 8.2 a 8.5) restringem terceiros sem base legal e colidem com a legitimidade das associações zoófilas como assistentes (Lei 92/95, arts. 9.º e 10.º); só valem como cláusula do termo de compromisso. O 8.5 repete o princípio 5.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C7</w:t>
        <w:tab/>
      </w:r>
      <w:r>
        <w:t>Os encargos vão para uma «entidade responsável» que não é identificada (ponto 7.7), e a lei não tem regra de financiamento antecipado da custódia; a proposta atribui à DGAV planos, simulacros, inventários, listas e relatórios sem meios nem limiar de proporcionalidade.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C8</w:t>
        <w:tab/>
      </w:r>
      <w:r>
        <w:t>Pormenores: posto de triagem sem condições de bem-estar e equipa sem enfermagem veterinária (pontos 5.2.2 e 5.2.4); relatório distribuído sem critério de necessidade nem salvaguarda do segredo de justiça (10.2); avaliação anual só com OMV e ANVETEM (10.4); números variáveis e órgãos internos da OMV no texto (11.4).</w:t>
      </w:r>
    </w:p>
    <w:p>
      <w:pPr>
        <w:spacing w:after="140"/>
        <w:ind w:left="510" w:hanging="510"/>
        <w:jc w:val="both"/>
      </w:pPr>
      <w:r>
        <w:rPr>
          <w:b/>
          <w:color w:val="1F3B63"/>
        </w:rPr>
        <w:t>C9</w:t>
        <w:tab/>
      </w:r>
      <w:r>
        <w:t>Assenta no modelo vigente (a DGAV recolhe e decide o destino), que o projeto de RGAC inverte (câmaras recolhem, MVM decide; art. 91.º), e o RGAC mantém na apreensão o «retorno ao local de origem» sem ressalvar CPP nem RJCE (art. 139.º); procedimento e RGAC têm de convergir.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