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color w:val="000000"/>
          <w:sz w:val="22"/>
        </w:rPr>
        <w:t>DIREÇÃO-GERAL DE ALIMENTAÇÃO E VETERINÁRIA</w:t>
      </w:r>
    </w:p>
    <w:p>
      <w:pPr>
        <w:spacing w:before="0" w:after="40" w:line="276" w:lineRule="auto"/>
        <w:jc w:val="left"/>
      </w:pPr>
      <w:r>
        <w:rPr>
          <w:color w:val="000000"/>
          <w:sz w:val="22"/>
        </w:rPr>
        <w:t>Bem-estar dos animais de companhia</w:t>
      </w:r>
    </w:p>
    <w:p>
      <w:pPr>
        <w:spacing w:before="0" w:after="320" w:line="276" w:lineRule="auto"/>
        <w:jc w:val="left"/>
      </w:pPr>
      <w:r>
        <w:rPr>
          <w:color w:val="000000"/>
          <w:sz w:val="22"/>
        </w:rPr>
        <w:t>Processo n.º ______   Data ______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1. Projeto de Lei que criminaliza a prática da zoofilia reforçando a proteção animal e a tutela penal e contraordenacional.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2. Altera o artigo 387.º do Código Penal, e adita a alínea h) ao n.º 3 do artigo 1.º da Lei n.º 92/95, de 12 de setembro.</w:t>
      </w:r>
    </w:p>
    <w:p>
      <w:pPr>
        <w:spacing w:before="280" w:after="120" w:line="276" w:lineRule="auto"/>
        <w:jc w:val="left"/>
      </w:pPr>
      <w:r>
        <w:rPr>
          <w:color w:val="000000"/>
          <w:sz w:val="22"/>
        </w:rPr>
        <w:t>Quanto ao Artigo 387.º do Código Penal: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3. O n.º 3 do artigo 387.º passa a ter duas alíneas. A alínea a) reproduz o crime de maus-tratos vigente, e a alínea b) acrescenta «Ofender sexualmente um animal de companhia através de cópula, coito anal, coito oral ou a introdução vaginal, anal ou oral de partes do corpo ou de objetos».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4. A nova alínea está sujeita ao preâmbulo do artigo que exceciona motivos legítimos - por exemplo, atos médico-veterinários -, permitindo que a ofensa sexual possa ser punível sem prova de dor, sofrimento ou lesão.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5. A moldura penal mantém-se.</w:t>
      </w:r>
    </w:p>
    <w:p>
      <w:pPr>
        <w:spacing w:before="280" w:after="120" w:line="276" w:lineRule="auto"/>
        <w:jc w:val="left"/>
      </w:pPr>
      <w:r>
        <w:rPr>
          <w:color w:val="000000"/>
          <w:sz w:val="22"/>
        </w:rPr>
        <w:t>Quanto ao artigo 1.º da Lei n.º 92/95: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6. A Lei 92/95 acolhe a mesma descrição na alínea h) do n.º 3 do artigo 1.º, passando a conduta a constituir também contraordenação, aplicável a qualquer animal.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7. Juridicamente não se afasta a dúvida sobre se o artigo 3.º acolhe as exclusões do art.º 1.º quanto a «violências injustificadas», mas presume-se que as causas de exclusão da ilicitude se aplicam por via do Regime Geral das Contra-Ordenações.</w:t>
      </w:r>
    </w:p>
    <w:p>
      <w:pPr>
        <w:spacing w:before="280" w:after="120" w:line="276" w:lineRule="auto"/>
        <w:jc w:val="left"/>
      </w:pPr>
      <w:r>
        <w:rPr>
          <w:color w:val="000000"/>
          <w:sz w:val="22"/>
        </w:rPr>
        <w:t>Parecer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8. No presente, o n.º 3 do artigo 7.º do Decreto-Lei n.º 276/2001, de 17 de outubro, estabelece que são proibidas «todas as violências contra animais, considerando-se como tais os atos consistentes em, sem necessidade, se infligir a morte, o sofrimento ou lesões a um animal», norma punida como contraordenação económica muito grave, pela alínea d) do n.º 2 do artigo 68.º.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9. O artigo 6.º, que fixa o dever especial de cuidado, só é sancionado por remissão direta quando o perigo recaia sobre outro animal, pela alínea j) do n.º 1, ou sobre outrem, pela alínea b) do n.º 2.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10. No aspeto penal, o n.º 3 do artigo 387.º pune apenas quem inflija dor, sofrimento ou maus-tratos físicos a animal de companhia.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11. Assim, o ato sexual do qual não resulte sofrimento ou lesão demonstráveis não se encontra sancionável. Esta lacuna pode ser coberta pela Proposta, como a própria exposição de motivos identifica.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12. Resulta relevante para a premência desta alteração o impacto destes comportamentos no bem-estar animal, bem como, os riscos higiossanitários e zoonóticos associados. Está documentada transmissão por esta via de agentes de doenças como a brucelose. Há também casuística de lesão em animais por esta via, em número não residual. Num levantamento de 448 casos de lesão não acidental publicado em revista de clínica veterinária, 6% eram de natureza sexual, parte das quais sem dano externo evidente.</w:t>
      </w:r>
    </w:p>
    <w:p>
      <w:pPr>
        <w:spacing w:before="0" w:after="160" w:line="276" w:lineRule="auto"/>
        <w:jc w:val="both"/>
      </w:pPr>
      <w:r>
        <w:rPr>
          <w:color w:val="000000"/>
          <w:sz w:val="22"/>
        </w:rPr>
        <w:t>13. Em conclusão, as ofensas sexuais de que não resulte sofrimento nem lesão persistentes e demonstráveis não têm hoje sanção penal nem contraordenacional. Se a formulação jurídica for validada, não se encontra objeções técnicas, pelo que o parecer é favorável.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