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A DGAV no procedimento das lojas de venda de animais de companhia e a articulação com o regime dos animais de companhia e com a Lei da Saúde Animal</w:t>
            </w:r>
          </w:p>
        </w:tc>
        <w:tc>
          <w:tcPr>
            <w:tcW w:type="dxa" w:w="2438"/>
          </w:tcPr>
          <w:p>
            <w:pPr>
              <w:spacing w:after="40"/>
              <w:jc w:val="both"/>
            </w:pPr>
            <w:r/>
            <w:r>
              <w:rPr>
                <w:sz w:val="18"/>
              </w:rPr>
              <w:t>Art.º 16.º, n.º 4, e Anexo II; art.ºs 2.º e 36.º, n.º 3</w:t>
            </w:r>
          </w:p>
        </w:tc>
        <w:tc>
          <w:tcPr>
            <w:tcW w:type="dxa" w:w="1134"/>
          </w:tcPr>
          <w:p>
            <w:pPr>
              <w:spacing w:after="40"/>
              <w:jc w:val="both"/>
            </w:pPr>
            <w:r/>
            <w:r>
              <w:rPr>
                <w:sz w:val="18"/>
              </w:rPr>
              <w:t>A refazer, em fusão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qual a norma de bem-estar aplicável</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 n.º 3</w:t>
            </w:r>
          </w:p>
        </w:tc>
        <w:tc>
          <w:tcPr>
            <w:tcW w:type="dxa" w:w="1134"/>
          </w:tcPr>
          <w:p>
            <w:pPr>
              <w:spacing w:after="40"/>
              <w:jc w:val="both"/>
            </w:pPr>
            <w:r/>
            <w:r>
              <w:rPr>
                <w:sz w:val="18"/>
              </w:rPr>
              <w:t>A confirmar</w:t>
            </w:r>
          </w:p>
        </w:tc>
      </w:tr>
      <w:tr>
        <w:tc>
          <w:tcPr>
            <w:tcW w:type="dxa" w:w="567"/>
          </w:tcPr>
          <w:p>
            <w:pPr>
              <w:spacing w:after="40"/>
              <w:jc w:val="both"/>
            </w:pPr>
            <w:r/>
            <w:r>
              <w:rPr>
                <w:sz w:val="18"/>
              </w:rPr>
              <w:t>04</w:t>
            </w:r>
          </w:p>
        </w:tc>
        <w:tc>
          <w:tcPr>
            <w:tcW w:type="dxa" w:w="3515"/>
          </w:tcPr>
          <w:p>
            <w:pPr>
              <w:spacing w:after="40"/>
              <w:jc w:val="both"/>
            </w:pPr>
            <w:r/>
            <w:r>
              <w:rPr>
                <w:sz w:val="18"/>
              </w:rPr>
              <w:t>Animais errantes e articulação com os centros de recolha oficial. É a questão que originou o pedido de pronúncia</w:t>
            </w:r>
          </w:p>
        </w:tc>
        <w:tc>
          <w:tcPr>
            <w:tcW w:type="dxa" w:w="2438"/>
          </w:tcPr>
          <w:p>
            <w:pPr>
              <w:spacing w:after="40"/>
              <w:jc w:val="both"/>
            </w:pPr>
            <w:r/>
            <w:r>
              <w:rPr>
                <w:sz w:val="18"/>
              </w:rPr>
              <w:t>Art.ºs 57.º e 59.º</w:t>
            </w:r>
          </w:p>
        </w:tc>
        <w:tc>
          <w:tcPr>
            <w:tcW w:type="dxa" w:w="1134"/>
          </w:tcPr>
          <w:p>
            <w:pPr>
              <w:spacing w:after="40"/>
              <w:jc w:val="both"/>
            </w:pPr>
            <w:r/>
            <w:r>
              <w:rPr>
                <w:sz w:val="18"/>
              </w:rPr>
              <w:t>Em preparação</w:t>
            </w:r>
          </w:p>
        </w:tc>
      </w:tr>
      <w:tr>
        <w:tc>
          <w:tcPr>
            <w:tcW w:type="dxa" w:w="567"/>
          </w:tcPr>
          <w:p>
            <w:pPr>
              <w:spacing w:after="40"/>
              <w:jc w:val="both"/>
            </w:pPr>
            <w:r/>
            <w:r>
              <w:rPr>
                <w:sz w:val="18"/>
              </w:rPr>
              <w:t>05</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Notas sobre a numeração. A ordem da primeira análise global, registada no contributo interno de 5 de outubro de 2026, era diferente: o tema que ali figurava como ponto 6, sobre a fronteira entre detenção caseira e animal de companhia, passou a ser o ponto 02 e absorveu-o.</w:t>
      </w:r>
    </w:p>
    <w:p>
      <w:pPr>
        <w:spacing w:after="120"/>
      </w:pPr>
      <w:r>
        <w:rPr>
          <w:b w:val="0"/>
          <w:i w:val="0"/>
          <w:color w:val="555555"/>
          <w:sz w:val="19"/>
        </w:rPr>
        <w:t>Por decisão de 6 de outubro de 2026, a série foi reduzida a cinco pontos. O antigo ponto 04, sobre a cláusula de articulação, foi fundido no ponto 01, por tratarem do mesmo problema em normas diferentes e por as correções pedidas serem complementares. Foram eliminados três temas: a venda e publicidade em linha, por o art.º 21.º do Regulamento (UE) 2026/1818 assegurar o essencial e o projeto não o contrariar; o SIAC, a base de dados setorial e o cadastro, por ser matéria de execução e de médio prazo; e os lapsos formais, por não serem matéria desta Direção de Serviços. A análise de cada um permanece neste documento, para o caso de virem a ser retomados.</w:t>
      </w:r>
    </w:p>
    <w:p>
      <w:pPr>
        <w:spacing w:after="120"/>
      </w:pPr>
      <w:r>
        <w:rPr>
          <w:b w:val="0"/>
          <w:i w:val="0"/>
          <w:color w:val="555555"/>
          <w:sz w:val="19"/>
        </w:rPr>
        <w:t>Na mesma data caiu também o ponto da venda em comércio não sedentário, em feiras e em leilões. A investigação da omissão dos animais vivos no n.º 2 do art.º 133.º concluiu que não há regressão: a norma reproduz literalmente o n.º 2 do art.º 75.º do Decreto-Lei n.º 10/2015 e a proibição tem sede própria, desde 2003, no n.º 6 do art.º 35.º do Decreto-Lei n.º 276/2001. Do tema restam dois resíduos, registados no ponto 5-R: o vazio quanto aos leilões de animais e uma correção que é nossa, no projeto de RGAC.</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Um efeito colateral fora do nosso âmbito, a sinalizar internamente</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04 — Animais errantes e articulação com os centros de recolha oficial</w:t>
      </w:r>
    </w:p>
    <w:p>
      <w:pPr>
        <w:spacing w:before="240" w:after="80"/>
      </w:pPr>
      <w:r>
        <w:rPr>
          <w:b/>
          <w:color w:val="1F3B63"/>
          <w:sz w:val="22"/>
        </w:rPr>
        <w:t>4.0. Postura definida para este ponto</w:t>
      </w:r>
    </w:p>
    <w:p>
      <w:pPr>
        <w:spacing w:after="120"/>
      </w:pPr>
      <w:r>
        <w:rPr>
          <w:b w:val="0"/>
          <w:i/>
          <w:sz w:val="21"/>
        </w:rPr>
        <w:t>Por decisão de 6 de outubro de 2026, a pronúncia neste ponto obedece a três limites.</w:t>
      </w:r>
    </w:p>
    <w:p>
      <w:pPr>
        <w:pStyle w:val="ListBullet"/>
        <w:spacing w:after="60"/>
        <w:jc w:val="both"/>
      </w:pPr>
      <w:r>
        <w:rPr>
          <w:sz w:val="21"/>
        </w:rPr>
        <w:t>Não se discute a arquitetura do diploma nem a sede da matéria. A construção do projeto não é desta Direção de Serviços e as razões da inclusão do artigo são de quem o redigiu. A análise da sede, registada no ponto 4.3, serve apenas para compreender o raciocínio e sustentar posição, não para ser invocada.</w:t>
      </w:r>
    </w:p>
    <w:p>
      <w:pPr>
        <w:pStyle w:val="ListBullet"/>
        <w:spacing w:after="60"/>
        <w:jc w:val="both"/>
      </w:pPr>
      <w:r>
        <w:rPr>
          <w:sz w:val="21"/>
        </w:rPr>
        <w:t>Não se faz crítica de técnica legislativa. Os lapsos de remissão e a numeração ficam registados no ponto 4.6 e são matéria dos juristas.</w:t>
      </w:r>
    </w:p>
    <w:p>
      <w:pPr>
        <w:pStyle w:val="ListBullet"/>
        <w:spacing w:after="60"/>
        <w:jc w:val="both"/>
      </w:pPr>
      <w:r>
        <w:rPr>
          <w:sz w:val="21"/>
        </w:rPr>
        <w:t>O contributo é o que esta divisão tem a oferecer: o conhecimento dos centros de recolha oficial, a solução do recinto multiespécie e a experiência dos apoios públicos. A perspetiva é pró-animal; o registo é de imparcialidade técnica.</w:t>
      </w:r>
    </w:p>
    <w:p>
      <w:pPr>
        <w:spacing w:before="240" w:after="80"/>
      </w:pPr>
      <w:r>
        <w:rPr>
          <w:b/>
          <w:color w:val="1F3B63"/>
          <w:sz w:val="22"/>
        </w:rPr>
        <w:t>4.1. O regime vigente dos centros de recolha oficial</w:t>
      </w:r>
    </w:p>
    <w:p>
      <w:pPr>
        <w:spacing w:after="120"/>
      </w:pPr>
      <w:r>
        <w:rPr>
          <w:b w:val="0"/>
          <w:i w:val="0"/>
          <w:sz w:val="21"/>
        </w:rPr>
        <w:t>O centro de recolha oficial é, juridicamente, um alojamento de animais de companhia. A al. t) do n.º 1 do art.º 2.º do Decreto-Lei n.º 276/2001 define «centro de recolha» como «qualquer alojamento oficial onde um animal é hospedado por um período determinado pela autoridade competente, nomeadamente os canis e os gatis municipais», e a al. a) do n.º 1 do art.º 3.º do mesmo diploma inclui expressamente os centros de recolha entre as atividades dependentes de mera comunicação prévia à DGAV. É, por isso, um estabelecimento registado na DGAV, com médico-veterinário responsável e sujeito às normas do seu Capítulo III.</w:t>
      </w:r>
    </w:p>
    <w:p>
      <w:pPr>
        <w:spacing w:after="120"/>
      </w:pPr>
      <w:r>
        <w:rPr>
          <w:b w:val="0"/>
          <w:i w:val="0"/>
          <w:sz w:val="21"/>
        </w:rPr>
        <w:t>A obrigação de o manter está no art.º 11.º do Decreto-Lei n.º 314/2003: as câmaras municipais, isoladamente ou em associação, «são obrigadas a possuir e manter instalações destinadas a canis e gatis, de acordo com as necessidades da zona», com pelo menos duas celas semicirculares para isolamento e quarentena de suspeitos de raiva, podendo celebrar protocolos com municípios vizinhos, e com a direção a cargo do médico-veterinário municipal. A rede resulta do n.º 4 do art.º 2.º da Lei n.º 27/2016.</w:t>
      </w:r>
    </w:p>
    <w:p>
      <w:pPr>
        <w:spacing w:before="240" w:after="80"/>
      </w:pPr>
      <w:r>
        <w:rPr>
          <w:b/>
          <w:color w:val="1F3B63"/>
          <w:sz w:val="22"/>
        </w:rPr>
        <w:t>4.2. Funções e prazos</w:t>
      </w:r>
    </w:p>
    <w:tbl>
      <w:tblPr>
        <w:tblStyle w:val="TableGrid"/>
        <w:tblW w:type="auto" w:w="0"/>
        <w:jc w:val="center"/>
        <w:tblLook w:firstColumn="1" w:firstRow="1" w:lastColumn="0" w:lastRow="0" w:noHBand="0" w:noVBand="1" w:val="04A0"/>
      </w:tblPr>
      <w:tblGrid>
        <w:gridCol w:w="3135"/>
        <w:gridCol w:w="3135"/>
        <w:gridCol w:w="3135"/>
      </w:tblGrid>
      <w:tr>
        <w:tc>
          <w:tcPr>
            <w:tcW w:type="dxa" w:w="1928"/>
          </w:tcPr>
          <w:p>
            <w:pPr>
              <w:spacing w:after="40"/>
            </w:pPr>
            <w:r/>
            <w:r>
              <w:rPr>
                <w:b/>
                <w:color w:val="1F3B63"/>
                <w:sz w:val="18"/>
              </w:rPr>
              <w:t>Função</w:t>
            </w:r>
          </w:p>
        </w:tc>
        <w:tc>
          <w:tcPr>
            <w:tcW w:type="dxa" w:w="2835"/>
          </w:tcPr>
          <w:p>
            <w:pPr>
              <w:spacing w:after="40"/>
            </w:pPr>
            <w:r/>
            <w:r>
              <w:rPr>
                <w:b/>
                <w:color w:val="1F3B63"/>
                <w:sz w:val="18"/>
              </w:rPr>
              <w:t>Norma</w:t>
            </w:r>
          </w:p>
        </w:tc>
        <w:tc>
          <w:tcPr>
            <w:tcW w:type="dxa" w:w="4025"/>
          </w:tcPr>
          <w:p>
            <w:pPr>
              <w:spacing w:after="40"/>
            </w:pPr>
            <w:r/>
            <w:r>
              <w:rPr>
                <w:b/>
                <w:color w:val="1F3B63"/>
                <w:sz w:val="18"/>
              </w:rPr>
              <w:t>Elemento relevante</w:t>
            </w:r>
          </w:p>
        </w:tc>
      </w:tr>
      <w:tr>
        <w:tc>
          <w:tcPr>
            <w:tcW w:type="dxa" w:w="1928"/>
          </w:tcPr>
          <w:p>
            <w:pPr>
              <w:spacing w:after="40"/>
              <w:jc w:val="both"/>
            </w:pPr>
            <w:r/>
            <w:r>
              <w:rPr>
                <w:sz w:val="18"/>
              </w:rPr>
              <w:t>Captura e recolha</w:t>
            </w:r>
          </w:p>
        </w:tc>
        <w:tc>
          <w:tcPr>
            <w:tcW w:type="dxa" w:w="2835"/>
          </w:tcPr>
          <w:p>
            <w:pPr>
              <w:spacing w:after="40"/>
              <w:jc w:val="both"/>
            </w:pPr>
            <w:r/>
            <w:r>
              <w:rPr>
                <w:sz w:val="18"/>
              </w:rPr>
              <w:t>Art.º 19.º do DL 276/2001 e art.º 8.º do DL 314/2003</w:t>
            </w:r>
          </w:p>
        </w:tc>
        <w:tc>
          <w:tcPr>
            <w:tcW w:type="dxa" w:w="4025"/>
          </w:tcPr>
          <w:p>
            <w:pPr>
              <w:spacing w:after="40"/>
              <w:jc w:val="both"/>
            </w:pPr>
            <w:r/>
            <w:r>
              <w:rPr>
                <w:sz w:val="18"/>
              </w:rPr>
              <w:t>Competência das câmaras municipais; os animais são recolhidos ao canil ou gatil municipal</w:t>
            </w:r>
          </w:p>
        </w:tc>
      </w:tr>
      <w:tr>
        <w:tc>
          <w:tcPr>
            <w:tcW w:type="dxa" w:w="1928"/>
          </w:tcPr>
          <w:p>
            <w:pPr>
              <w:spacing w:after="40"/>
              <w:jc w:val="both"/>
            </w:pPr>
            <w:r/>
            <w:r>
              <w:rPr>
                <w:sz w:val="18"/>
              </w:rPr>
              <w:t>Exame clínico e destino</w:t>
            </w:r>
          </w:p>
        </w:tc>
        <w:tc>
          <w:tcPr>
            <w:tcW w:type="dxa" w:w="2835"/>
          </w:tcPr>
          <w:p>
            <w:pPr>
              <w:spacing w:after="40"/>
              <w:jc w:val="both"/>
            </w:pPr>
            <w:r/>
            <w:r>
              <w:rPr>
                <w:sz w:val="18"/>
              </w:rPr>
              <w:t>Art.º 9.º, n.º 1, do DL 314/2003</w:t>
            </w:r>
          </w:p>
        </w:tc>
        <w:tc>
          <w:tcPr>
            <w:tcW w:type="dxa" w:w="4025"/>
          </w:tcPr>
          <w:p>
            <w:pPr>
              <w:spacing w:after="40"/>
              <w:jc w:val="both"/>
            </w:pPr>
            <w:r/>
            <w:r>
              <w:rPr>
                <w:sz w:val="18"/>
              </w:rPr>
              <w:t>Exame pelo médico-veterinário municipal, que decide o destino; permanência mínima de oito dias</w:t>
            </w:r>
          </w:p>
        </w:tc>
      </w:tr>
      <w:tr>
        <w:tc>
          <w:tcPr>
            <w:tcW w:type="dxa" w:w="1928"/>
          </w:tcPr>
          <w:p>
            <w:pPr>
              <w:spacing w:after="40"/>
              <w:jc w:val="both"/>
            </w:pPr>
            <w:r/>
            <w:r>
              <w:rPr>
                <w:sz w:val="18"/>
              </w:rPr>
              <w:t>Presunção de abandono</w:t>
            </w:r>
          </w:p>
        </w:tc>
        <w:tc>
          <w:tcPr>
            <w:tcW w:type="dxa" w:w="2835"/>
          </w:tcPr>
          <w:p>
            <w:pPr>
              <w:spacing w:after="40"/>
              <w:jc w:val="both"/>
            </w:pPr>
            <w:r/>
            <w:r>
              <w:rPr>
                <w:sz w:val="18"/>
              </w:rPr>
              <w:t>Art.º 3.º, n.º 1, da Lei n.º 27/2016</w:t>
            </w:r>
          </w:p>
        </w:tc>
        <w:tc>
          <w:tcPr>
            <w:tcW w:type="dxa" w:w="4025"/>
          </w:tcPr>
          <w:p>
            <w:pPr>
              <w:spacing w:after="40"/>
              <w:jc w:val="both"/>
            </w:pPr>
            <w:r/>
            <w:r>
              <w:rPr>
                <w:sz w:val="18"/>
              </w:rPr>
              <w:t>Decorridos quinze dias sobre a recolha sem reclamação, presumem-se abandonados e são obrigatoriamente esterilizados e encaminhados para adoção</w:t>
            </w:r>
          </w:p>
        </w:tc>
      </w:tr>
      <w:tr>
        <w:tc>
          <w:tcPr>
            <w:tcW w:type="dxa" w:w="1928"/>
          </w:tcPr>
          <w:p>
            <w:pPr>
              <w:spacing w:after="40"/>
              <w:jc w:val="both"/>
            </w:pPr>
            <w:r/>
            <w:r>
              <w:rPr>
                <w:sz w:val="18"/>
              </w:rPr>
              <w:t>Esterilização e CED</w:t>
            </w:r>
          </w:p>
        </w:tc>
        <w:tc>
          <w:tcPr>
            <w:tcW w:type="dxa" w:w="2835"/>
          </w:tcPr>
          <w:p>
            <w:pPr>
              <w:spacing w:after="40"/>
              <w:jc w:val="both"/>
            </w:pPr>
            <w:r/>
            <w:r>
              <w:rPr>
                <w:sz w:val="18"/>
              </w:rPr>
              <w:t>Art.º 4.º da Lei n.º 27/2016 e Portaria n.º 146/2017</w:t>
            </w:r>
          </w:p>
        </w:tc>
        <w:tc>
          <w:tcPr>
            <w:tcW w:type="dxa" w:w="4025"/>
          </w:tcPr>
          <w:p>
            <w:pPr>
              <w:spacing w:after="40"/>
              <w:jc w:val="both"/>
            </w:pPr>
            <w:r/>
            <w:r>
              <w:rPr>
                <w:sz w:val="18"/>
              </w:rPr>
              <w:t>Captura, vacinação e esterilização de errantes e execução dos programas de captura, esterilização e devolução</w:t>
            </w:r>
          </w:p>
        </w:tc>
      </w:tr>
      <w:tr>
        <w:tc>
          <w:tcPr>
            <w:tcW w:type="dxa" w:w="1928"/>
          </w:tcPr>
          <w:p>
            <w:pPr>
              <w:spacing w:after="40"/>
              <w:jc w:val="both"/>
            </w:pPr>
            <w:r/>
            <w:r>
              <w:rPr>
                <w:sz w:val="18"/>
              </w:rPr>
              <w:t>Despesas</w:t>
            </w:r>
          </w:p>
        </w:tc>
        <w:tc>
          <w:tcPr>
            <w:tcW w:type="dxa" w:w="2835"/>
          </w:tcPr>
          <w:p>
            <w:pPr>
              <w:spacing w:after="40"/>
              <w:jc w:val="both"/>
            </w:pPr>
            <w:r/>
            <w:r>
              <w:rPr>
                <w:sz w:val="18"/>
              </w:rPr>
              <w:t>Art.º 9.º, n.º 2, do DL 314/2003</w:t>
            </w:r>
          </w:p>
        </w:tc>
        <w:tc>
          <w:tcPr>
            <w:tcW w:type="dxa" w:w="4025"/>
          </w:tcPr>
          <w:p>
            <w:pPr>
              <w:spacing w:after="40"/>
              <w:jc w:val="both"/>
            </w:pPr>
            <w:r/>
            <w:r>
              <w:rPr>
                <w:sz w:val="18"/>
              </w:rPr>
              <w:t>Alimentação e alojamento a cargo do detentor</w:t>
            </w:r>
          </w:p>
        </w:tc>
      </w:tr>
      <w:tr>
        <w:tc>
          <w:tcPr>
            <w:tcW w:type="dxa" w:w="1928"/>
          </w:tcPr>
          <w:p>
            <w:pPr>
              <w:spacing w:after="40"/>
              <w:jc w:val="both"/>
            </w:pPr>
            <w:r/>
            <w:r>
              <w:rPr>
                <w:sz w:val="18"/>
              </w:rPr>
              <w:t>Cadáveres</w:t>
            </w:r>
          </w:p>
        </w:tc>
        <w:tc>
          <w:tcPr>
            <w:tcW w:type="dxa" w:w="2835"/>
          </w:tcPr>
          <w:p>
            <w:pPr>
              <w:spacing w:after="40"/>
              <w:jc w:val="both"/>
            </w:pPr>
            <w:r/>
            <w:r>
              <w:rPr>
                <w:sz w:val="18"/>
              </w:rPr>
              <w:t>Art.º 12.º do DL 314/2003</w:t>
            </w:r>
          </w:p>
        </w:tc>
        <w:tc>
          <w:tcPr>
            <w:tcW w:type="dxa" w:w="4025"/>
          </w:tcPr>
          <w:p>
            <w:pPr>
              <w:spacing w:after="40"/>
              <w:jc w:val="both"/>
            </w:pPr>
            <w:r/>
            <w:r>
              <w:rPr>
                <w:sz w:val="18"/>
              </w:rPr>
              <w:t>Destruição assegurada pelas câmaras municipais</w:t>
            </w:r>
          </w:p>
        </w:tc>
      </w:tr>
      <w:tr>
        <w:tc>
          <w:tcPr>
            <w:tcW w:type="dxa" w:w="1928"/>
          </w:tcPr>
          <w:p>
            <w:pPr>
              <w:spacing w:after="40"/>
              <w:jc w:val="both"/>
            </w:pPr>
            <w:r/>
            <w:r>
              <w:rPr>
                <w:sz w:val="18"/>
              </w:rPr>
              <w:t>Relato</w:t>
            </w:r>
          </w:p>
        </w:tc>
        <w:tc>
          <w:tcPr>
            <w:tcW w:type="dxa" w:w="2835"/>
          </w:tcPr>
          <w:p>
            <w:pPr>
              <w:spacing w:after="40"/>
              <w:jc w:val="both"/>
            </w:pPr>
            <w:r/>
            <w:r>
              <w:rPr>
                <w:sz w:val="18"/>
              </w:rPr>
              <w:t>Art.º 3.º, n.ºs 9 e 10, da Lei n.º 27/2016</w:t>
            </w:r>
          </w:p>
        </w:tc>
        <w:tc>
          <w:tcPr>
            <w:tcW w:type="dxa" w:w="4025"/>
          </w:tcPr>
          <w:p>
            <w:pPr>
              <w:spacing w:after="40"/>
              <w:jc w:val="both"/>
            </w:pPr>
            <w:r/>
            <w:r>
              <w:rPr>
                <w:sz w:val="18"/>
              </w:rPr>
              <w:t>Relatório de gestão anual publicitado no primeiro mês do ano; relatório nacional da DGAV até ao fim do primeiro trimestre</w:t>
            </w:r>
          </w:p>
        </w:tc>
      </w:tr>
      <w:tr>
        <w:tc>
          <w:tcPr>
            <w:tcW w:type="dxa" w:w="1928"/>
          </w:tcPr>
          <w:p>
            <w:pPr>
              <w:spacing w:after="40"/>
              <w:jc w:val="both"/>
            </w:pPr>
            <w:r/>
            <w:r>
              <w:rPr>
                <w:sz w:val="18"/>
              </w:rPr>
              <w:t>Prazo do projeto</w:t>
            </w:r>
          </w:p>
        </w:tc>
        <w:tc>
          <w:tcPr>
            <w:tcW w:type="dxa" w:w="2835"/>
          </w:tcPr>
          <w:p>
            <w:pPr>
              <w:spacing w:after="40"/>
              <w:jc w:val="both"/>
            </w:pPr>
            <w:r/>
            <w:r>
              <w:rPr>
                <w:sz w:val="18"/>
              </w:rPr>
              <w:t>Art.º 59.º, n.º 3, do anexo</w:t>
            </w:r>
          </w:p>
        </w:tc>
        <w:tc>
          <w:tcPr>
            <w:tcW w:type="dxa" w:w="4025"/>
          </w:tcPr>
          <w:p>
            <w:pPr>
              <w:spacing w:after="40"/>
              <w:jc w:val="both"/>
            </w:pPr>
            <w:r/>
            <w:r>
              <w:rPr>
                <w:sz w:val="18"/>
              </w:rPr>
              <w:t>Cinco dias úteis para a recolha pelo detentor</w:t>
            </w:r>
          </w:p>
        </w:tc>
      </w:tr>
    </w:tbl>
    <w:p>
      <w:pPr>
        <w:spacing w:after="80"/>
      </w:pPr>
    </w:p>
    <w:p>
      <w:pPr>
        <w:spacing w:after="120"/>
      </w:pPr>
      <w:r>
        <w:rPr>
          <w:b w:val="0"/>
          <w:i w:val="0"/>
          <w:sz w:val="21"/>
        </w:rPr>
        <w:t>Os prazos são, portanto, quatro e não coincidem: oito dias de permanência mínima, quinze dias para a presunção de abandono, dez dias no mínimo proposto pelo projeto de RGAC e cinco dias úteis no artigo do projeto em análise.</w:t>
      </w:r>
    </w:p>
    <w:p>
      <w:pPr>
        <w:spacing w:before="240" w:after="80"/>
      </w:pPr>
      <w:r>
        <w:rPr>
          <w:b/>
          <w:color w:val="1F3B63"/>
          <w:sz w:val="22"/>
        </w:rPr>
        <w:t>4.3. A sede da matéria (registo interno, não invocar)</w:t>
      </w:r>
    </w:p>
    <w:p>
      <w:pPr>
        <w:spacing w:after="120"/>
      </w:pPr>
      <w:r>
        <w:rPr>
          <w:b w:val="0"/>
          <w:i w:val="0"/>
          <w:sz w:val="21"/>
        </w:rPr>
        <w:t>Elemento de compreensão, não de pronúncia. O artigo está no Título II, «Requisitos de exercício», Capítulo II, «Requisitos especiais de exercício», Secção III, «Atividade pecuária», Subsecção IV, «Medidas Administrativas», entre o artigo das medidas administrativas e o das sanções acessórias. Foi aí colocado como medida de polícia do licenciamento pecuário: o animal errante é sintoma de incumprimento do dever de contenção, que é condição de exercício pela al. j) do n.º 1 do art.º 54.º, e o n.º 4 do art.º 59.º condiciona a devolução à verificação de que a exploração dispõe de condições que previnam nova fuga.</w:t>
      </w:r>
    </w:p>
    <w:p>
      <w:pPr>
        <w:spacing w:after="120"/>
      </w:pPr>
      <w:r>
        <w:rPr>
          <w:b w:val="0"/>
          <w:i w:val="0"/>
          <w:sz w:val="21"/>
        </w:rPr>
        <w:t>O artigo foi inserido por inteiro em 23 de setembro de 2026, em nome de «Utilizador Convidado», no conjunto de cerca de noventa inserções dessa data, na véspera da reunião de 24 de setembro. O seu próprio autor deixou-lhe um comentário ancorado ao n.º 1: «Qual é a entidade competente?».</w:t>
      </w:r>
    </w:p>
    <w:p>
      <w:pPr>
        <w:spacing w:before="240" w:after="80"/>
      </w:pPr>
      <w:r>
        <w:rPr>
          <w:b/>
          <w:color w:val="1F3B63"/>
          <w:sz w:val="22"/>
        </w:rPr>
        <w:t>4.4. Onde o projeto toca os centros de recolha oficial</w:t>
      </w:r>
    </w:p>
    <w:p>
      <w:pPr>
        <w:pStyle w:val="ListBullet"/>
        <w:spacing w:after="60"/>
        <w:jc w:val="both"/>
      </w:pPr>
      <w:r>
        <w:rPr>
          <w:sz w:val="21"/>
        </w:rPr>
        <w:t>Pela omissão. O art.º 59.º não identifica instalação alguma, mas refere despesas de «alojamento» no n.º 3 e atribui ao município a determinação do destino no n.º 5. O município dispõe de uma única instalação de alojamento de animais, que é o centro de recolha oficial.</w:t>
      </w:r>
    </w:p>
    <w:p>
      <w:pPr>
        <w:pStyle w:val="ListBullet"/>
        <w:spacing w:after="60"/>
        <w:jc w:val="both"/>
      </w:pPr>
      <w:r>
        <w:rPr>
          <w:sz w:val="21"/>
        </w:rPr>
        <w:t>Pela terminologia. A subal. i) da al. c) do art.º 48.º define «Centro de Agrupamento» como «os locais, como centros de recolha, feiras e mercados […] onde são agrupados animais provenientes de diferentes explorações». A expressão «centros de recolha» é a mesma que o Decreto-Lei n.º 276/2001 usa para o canil e o gatil municipais. A definição é herdada do art.º 2.º do Decreto-Lei n.º 81/2013, pelo que a coincidência não é nova; novo é o contacto, porque nada mandava, até agora, animais pecuários para a mão do município. Na pronúncia, basta a nota de que não são a mesma realidade.</w:t>
      </w:r>
    </w:p>
    <w:p>
      <w:pPr>
        <w:pStyle w:val="ListBullet"/>
        <w:spacing w:after="60"/>
        <w:jc w:val="both"/>
      </w:pPr>
      <w:r>
        <w:rPr>
          <w:sz w:val="21"/>
        </w:rPr>
        <w:t>Pela capacidade e pelos meios. A Lei n.º 27/2016 afetou aos centros de recolha oficial uma missão determinada, e é sobre ela que se construíram os apoios públicos. Uma função adicional sem meios, com o encargo a recair no município sempre que o detentor não seja identificado, que é a regra no gado deambulante, compromete a missão existente.</w:t>
      </w:r>
    </w:p>
    <w:p>
      <w:pPr>
        <w:spacing w:before="240" w:after="80"/>
      </w:pPr>
      <w:r>
        <w:rPr>
          <w:b/>
          <w:color w:val="1F3B63"/>
          <w:sz w:val="22"/>
        </w:rPr>
        <w:t>4.5. A solução já existe e está financiada</w:t>
      </w:r>
    </w:p>
    <w:p>
      <w:pPr>
        <w:spacing w:after="120"/>
      </w:pPr>
      <w:r>
        <w:rPr>
          <w:b w:val="0"/>
          <w:i w:val="0"/>
          <w:sz w:val="21"/>
        </w:rPr>
        <w:t>Este é o contributo central. O projeto de RGAC prevê que os centros de recolha possam dispor de, pelo menos, um recinto multiespécie adequado a espécies pecuárias, cumprindo a legislação específica. E os Avisos de financiamento para construção e modernização de centros de recolha oficial fixaram a sala multiespécie como requisito mínimo de construção. Não é, por isso, necessário conceber solução nova: basta remeter para a que a administração já desenhou e financiou.</w:t>
      </w:r>
    </w:p>
    <w:p>
      <w:pPr>
        <w:spacing w:after="120"/>
      </w:pPr>
      <w:r>
        <w:rPr>
          <w:b w:val="0"/>
          <w:i w:val="0"/>
          <w:color w:val="555555"/>
          <w:sz w:val="19"/>
        </w:rPr>
        <w:t>Verificação pendente, e é a mais importante deste ponto: obter o texto dos Avisos, com número, ano e redação exata do requisito, para que a afirmação anterior seja citável. A referência foi transmitida oralmente e não consta dos ficheiros do repositório.</w:t>
      </w:r>
    </w:p>
    <w:p>
      <w:pPr>
        <w:spacing w:before="240" w:after="80"/>
      </w:pPr>
      <w:r>
        <w:rPr>
          <w:b/>
          <w:color w:val="1F3B63"/>
          <w:sz w:val="22"/>
        </w:rPr>
        <w:t>4.6. Lapsos formais (registo interno, matéria dos juristas)</w:t>
      </w:r>
    </w:p>
    <w:p>
      <w:pPr>
        <w:pStyle w:val="ListBullet"/>
        <w:spacing w:after="60"/>
        <w:jc w:val="both"/>
      </w:pPr>
      <w:r>
        <w:rPr>
          <w:sz w:val="21"/>
        </w:rPr>
        <w:t>O n.º 5 do art.º 59.º refere o prazo «referido no número anterior», mas o prazo está no n.º 3 e o n.º 4 não fixa prazo algum.</w:t>
      </w:r>
    </w:p>
    <w:p>
      <w:pPr>
        <w:pStyle w:val="ListBullet"/>
        <w:spacing w:after="60"/>
        <w:jc w:val="both"/>
      </w:pPr>
      <w:r>
        <w:rPr>
          <w:sz w:val="21"/>
        </w:rPr>
        <w:t>O n.º 6 refere as despesas «previstas no número anterior», mas as despesas estão no n.º 3 e não no n.º 5.</w:t>
      </w:r>
    </w:p>
    <w:p>
      <w:pPr>
        <w:pStyle w:val="ListBullet"/>
        <w:spacing w:after="60"/>
        <w:jc w:val="both"/>
      </w:pPr>
      <w:r>
        <w:rPr>
          <w:sz w:val="21"/>
        </w:rPr>
        <w:t>O n.º 6 escreve «quando identificada» onde deveria ler-se «quando identificado».</w:t>
      </w:r>
    </w:p>
    <w:p>
      <w:pPr>
        <w:spacing w:before="240" w:after="80"/>
      </w:pPr>
      <w:r>
        <w:rPr>
          <w:b/>
          <w:color w:val="1F3B63"/>
          <w:sz w:val="22"/>
        </w:rPr>
        <w:t>4.7. Fontes do ponto 04</w:t>
      </w:r>
    </w:p>
    <w:p>
      <w:pPr>
        <w:pStyle w:val="ListBullet"/>
        <w:spacing w:after="60"/>
        <w:jc w:val="both"/>
      </w:pPr>
      <w:r>
        <w:rPr>
          <w:sz w:val="21"/>
        </w:rPr>
        <w:t>Projeto: art.ºs 48.º, al. c), 54.º, 55.º, 57.º, 58.º e 59.º do anexo; estrutura do Título II; ficha de avaliação legislativa, quadro das audições obrigatórias.</w:t>
      </w:r>
    </w:p>
    <w:p>
      <w:pPr>
        <w:pStyle w:val="ListBullet"/>
        <w:spacing w:after="60"/>
        <w:jc w:val="both"/>
      </w:pPr>
      <w:r>
        <w:rPr>
          <w:sz w:val="21"/>
        </w:rPr>
        <w:t>Decreto-Lei n.º 276/2001 — art.ºs 2.º, n.º 1, als. c) e t), 3.º, n.º 1, al. a), e 19.º.</w:t>
      </w:r>
    </w:p>
    <w:p>
      <w:pPr>
        <w:pStyle w:val="ListBullet"/>
        <w:spacing w:after="60"/>
        <w:jc w:val="both"/>
      </w:pPr>
      <w:r>
        <w:rPr>
          <w:sz w:val="21"/>
        </w:rPr>
        <w:t>Decreto-Lei n.º 314/2003 — art.ºs 2.º, al. n), 8.º, 9.º, 10.º, 11.º e 12.º.</w:t>
      </w:r>
    </w:p>
    <w:p>
      <w:pPr>
        <w:pStyle w:val="ListBullet"/>
        <w:spacing w:after="60"/>
        <w:jc w:val="both"/>
      </w:pPr>
      <w:r>
        <w:rPr>
          <w:sz w:val="21"/>
        </w:rPr>
        <w:t>Lei n.º 27/2016 — art.ºs 1.º a 5.º, em especial o n.º 1 do art.º 3.º e os n.ºs 9 e 10 do mesmo artigo.</w:t>
      </w:r>
    </w:p>
    <w:p>
      <w:pPr>
        <w:pStyle w:val="ListBullet"/>
        <w:spacing w:after="60"/>
        <w:jc w:val="both"/>
      </w:pPr>
      <w:r>
        <w:rPr>
          <w:sz w:val="21"/>
        </w:rPr>
        <w:t>Portaria n.º 146/2017 — normas técnicas dos programas de captura, esterilização e devolução.</w:t>
      </w:r>
    </w:p>
    <w:p>
      <w:pPr>
        <w:pStyle w:val="ListBullet"/>
        <w:spacing w:after="60"/>
        <w:jc w:val="both"/>
      </w:pPr>
      <w:r>
        <w:rPr>
          <w:sz w:val="21"/>
        </w:rPr>
        <w:t>Código Civil, art.º 1323.º, na redação da Lei n.º 8/2017 — regime do animal achado, aplicável a qualquer espécie.</w:t>
      </w:r>
    </w:p>
    <w:p>
      <w:pPr>
        <w:pStyle w:val="ListBullet"/>
        <w:spacing w:after="60"/>
        <w:jc w:val="both"/>
      </w:pPr>
      <w:r>
        <w:rPr>
          <w:sz w:val="21"/>
        </w:rPr>
        <w:t>Código da Estrada, art.º 92.º — condução de animais na via pública. A norma que sanciona o proprietário que deixe o animal vaguear não foi confirmada quanto ao número do artigo.</w:t>
      </w:r>
    </w:p>
    <w:p>
      <w:pPr>
        <w:pStyle w:val="ListBullet"/>
        <w:spacing w:after="60"/>
        <w:jc w:val="both"/>
      </w:pPr>
      <w:r>
        <w:rPr>
          <w:sz w:val="21"/>
        </w:rPr>
        <w:t>Portaria n.º 1112/2009 — Rede Nacional de Centros de Recuperação de Fauna, coordenada pelo ICNF em articulação com a DGAV, para animais selvagens.</w:t>
      </w:r>
    </w:p>
    <w:p>
      <w:pPr>
        <w:pStyle w:val="ListBullet"/>
        <w:spacing w:after="60"/>
        <w:jc w:val="both"/>
      </w:pPr>
      <w:r>
        <w:rPr>
          <w:sz w:val="21"/>
        </w:rPr>
        <w:t>Projeto de RGAC — artigo relativo aos centros de recolha, quanto ao recinto multiespécie. Trabalho em curso, citado como tal.</w:t>
      </w:r>
    </w:p>
    <w:p>
      <w:pPr>
        <w:spacing w:before="360" w:after="120"/>
      </w:pPr>
      <w:r>
        <w:rPr>
          <w:b/>
          <w:color w:val="1F3B63"/>
          <w:sz w:val="26"/>
        </w:rPr>
        <w:t>Ponto 5-R — Resíduos do tema eliminado da venda não sedentária, feiras e leilões</w:t>
      </w:r>
    </w:p>
    <w:p>
      <w:pPr>
        <w:spacing w:before="240" w:after="80"/>
      </w:pPr>
      <w:r>
        <w:rPr>
          <w:b/>
          <w:color w:val="1F3B63"/>
          <w:sz w:val="22"/>
        </w:rPr>
        <w:t>5R.1. Por que razão o tema caiu</w:t>
      </w:r>
    </w:p>
    <w:p>
      <w:pPr>
        <w:spacing w:after="120"/>
      </w:pPr>
      <w:r>
        <w:rPr>
          <w:b w:val="0"/>
          <w:i w:val="0"/>
          <w:sz w:val="21"/>
        </w:rPr>
        <w:t>A questão de partida era a omissão dos animais vivos no elenco de proibições do n.º 2 do art.º 133.º do anexo. A investigação concluiu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5R.2. Primeiro resíduo: os leilões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5R.3. Segundo resíduo: uma correção no nosso próprio texto</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5R.4.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Fundamentação do ponto 04, com o regime vigente dos centros de recolha oficial, o quadro das funções e dos quatro prazos, a articulação com o projeto e a solução do recinto multiespécie. Fixada a postura do ponto: sem discussão da sede da matéria e sem crítica de técnica legislativa, que ficam como registo interno.</w:t>
            </w:r>
          </w:p>
        </w:tc>
      </w:tr>
      <w:tr>
        <w:tc>
          <w:tcPr>
            <w:tcW w:type="dxa" w:w="1361"/>
          </w:tcPr>
          <w:p>
            <w:pPr>
              <w:spacing w:after="40"/>
              <w:jc w:val="both"/>
            </w:pPr>
            <w:r/>
            <w:r>
              <w:rPr>
                <w:sz w:val="18"/>
              </w:rPr>
              <w:t>6.10.2026</w:t>
            </w:r>
          </w:p>
        </w:tc>
        <w:tc>
          <w:tcPr>
            <w:tcW w:type="dxa" w:w="7427"/>
          </w:tcPr>
          <w:p>
            <w:pPr>
              <w:spacing w:after="40"/>
              <w:jc w:val="both"/>
            </w:pPr>
            <w:r/>
            <w:r>
              <w:rPr>
                <w:sz w:val="18"/>
              </w:rPr>
              <w:t>Eliminado o ponto da venda não sedentária, feiras e leilões, apurado que a omissão dos animais vivos no n.º 2 do artigo 133.º é herdada do artigo 75.º do Decreto-Lei n.º 10/2015 e não constitui regressão. Resíduos registados no ponto 5-R. O acesso de animais de companhia a estabelecimentos passa a ponto 05. O ponto 03 passa a «a confirmar».</w:t>
            </w:r>
          </w:p>
        </w:tc>
      </w:tr>
      <w:tr>
        <w:tc>
          <w:tcPr>
            <w:tcW w:type="dxa" w:w="1361"/>
          </w:tcPr>
          <w:p>
            <w:pPr>
              <w:spacing w:after="40"/>
              <w:jc w:val="both"/>
            </w:pPr>
            <w:r/>
            <w:r>
              <w:rPr>
                <w:sz w:val="18"/>
              </w:rPr>
              <w:t>6.10.2026</w:t>
            </w:r>
          </w:p>
        </w:tc>
        <w:tc>
          <w:tcPr>
            <w:tcW w:type="dxa" w:w="7427"/>
          </w:tcPr>
          <w:p>
            <w:pPr>
              <w:spacing w:after="40"/>
              <w:jc w:val="both"/>
            </w:pPr>
            <w:r/>
            <w:r>
              <w:rPr>
                <w:sz w:val="18"/>
              </w:rPr>
              <w:t>Série reduzida a seis pontos. Fusão do antigo ponto 04 no ponto 01 e eliminação dos temas da venda em linha, do SIAC e cadastro e dos lapsos formais. Renumerados os restantes: os errantes passam a 04, o comércio não sedentário e os leilões a 05 e o acesso de animais de companhia a estabelecimentos a 06.</w:t>
            </w:r>
          </w:p>
        </w:tc>
      </w:tr>
      <w:tr>
        <w:tc>
          <w:tcPr>
            <w:tcW w:type="dxa" w:w="1361"/>
          </w:tcPr>
          <w:p>
            <w:pPr>
              <w:spacing w:after="40"/>
              <w:jc w:val="both"/>
            </w:pPr>
            <w:r/>
            <w:r>
              <w:rPr>
                <w:sz w:val="18"/>
              </w:rPr>
              <w:t>6.10.2026</w:t>
            </w:r>
          </w:p>
        </w:tc>
        <w:tc>
          <w:tcPr>
            <w:tcW w:type="dxa" w:w="7427"/>
          </w:tcPr>
          <w:p>
            <w:pPr>
              <w:spacing w:after="40"/>
              <w:jc w:val="both"/>
            </w:pPr>
            <w:r/>
            <w:r>
              <w:rPr>
                <w:sz w:val="18"/>
              </w:rPr>
              <w:t>Fundamentação do ponto 03, sobre o deferimento tácito, com o achado de que a exclusão do deferimento tácito em decisões sobre detenção de animais já consta da lei vigente, no n.º 2 do artigo 3.º-D do Decreto-Lei n.º 276/2001, e não apenas do projeto de RGAC.</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Ponto 2.5-C: ligação à lista positiva de animais de companhia do n.º 3 do artigo 4.º do projeto de RGAC, com a colisão das duas habilitações regulamentares sobre a detenção da mesma espécie, e a incoerência interna do RGAC entre o n.º 2 do artigo 2.º e o n.º 2 do artigo 4.º, a remeter para o memorando de acompanhamento.</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quarta versão, 197 palavras: deixa de propor redação e passa a colocar uma dúvida de aplicação sobre a norma de bem-estar aplicável à detenção caseira, ligando-se a um fio já aberto no ficheiro. Acrescentado o ponto 2.5-B, com os três encaminhamentos para a DGAV registados no documento e com a correção relativa à Portaria n.º 635/2009, que estreita a delimitação do vazio.</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