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1.14</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w:t>
            </w:r>
          </w:p>
        </w:tc>
      </w:tr>
    </w:tbl>
    <w:p/>
    <w:p>
      <w:r>
        <w:br w:type="page"/>
      </w:r>
    </w:p>
    <w:p>
      <w:pPr>
        <w:pStyle w:val="Heading1"/>
      </w:pPr>
      <w:r>
        <w:rPr>
          <w:i w:val="0"/>
          <w:color w:val="000000"/>
        </w:rPr>
        <w:t>7.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Por isso não aparece na estrutura usada no Anexo D.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39</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