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1.14</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P-37. Quem acolhe um animal errante pode ficar sem saída lícita (art. 94.º)</w:t>
      </w:r>
    </w:p>
    <w:p>
      <w:pPr>
        <w:spacing w:after="40"/>
      </w:pPr>
    </w:p>
    <w:p>
      <w:pPr>
        <w:spacing w:after="40"/>
      </w:pPr>
      <w:r>
        <w:rPr>
          <w:b/>
          <w:i w:val="0"/>
        </w:rPr>
        <w:t>9. Capítulo XV. Medidas administrativas, fiscalização e contraordenações</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40"/>
      </w:pPr>
    </w:p>
    <w:p>
      <w:pPr>
        <w:spacing w:after="40"/>
      </w:pPr>
      <w:r>
        <w:rPr>
          <w:b/>
          <w:i w:val="0"/>
        </w:rPr>
        <w:t>10. Capítulo XVI. Disposições complementares, finais e transitórias</w:t>
      </w:r>
    </w:p>
    <w:p>
      <w:pPr>
        <w:spacing w:after="0"/>
        <w:ind w:left="567"/>
      </w:pPr>
      <w:r>
        <w:rPr>
          <w:b w:val="0"/>
          <w:i w:val="0"/>
        </w:rPr>
        <w:t>P-07. As portarias mantidas usam detentor no sentido antigo (art. 149.º)</w:t>
      </w:r>
    </w:p>
    <w:p>
      <w:pPr>
        <w:spacing w:after="40"/>
      </w:pPr>
    </w:p>
    <w:p>
      <w:pPr>
        <w:spacing w:after="40"/>
      </w:pPr>
      <w:r>
        <w:rPr>
          <w:b/>
          <w:i w:val="0"/>
        </w:rPr>
        <w:t>11.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r>
        <w:br w:type="page"/>
      </w:r>
    </w:p>
    <w:p>
      <w:pPr>
        <w:pStyle w:val="Heading1"/>
      </w:pPr>
      <w:r>
        <w:rPr>
          <w:i w:val="0"/>
          <w:color w:val="000000"/>
        </w:rPr>
        <w:t>9. Capítulo XV. Medidas administrativas, fiscalização e contraordenações</w:t>
      </w:r>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w:t>
            </w:r>
          </w:p>
        </w:tc>
      </w:tr>
    </w:tbl>
    <w:p/>
    <w:p>
      <w:r>
        <w:br w:type="page"/>
      </w:r>
    </w:p>
    <w:p>
      <w:pPr>
        <w:pStyle w:val="Heading1"/>
      </w:pPr>
      <w:r>
        <w:rPr>
          <w:i w:val="0"/>
          <w:color w:val="000000"/>
        </w:rPr>
        <w:t>10.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11.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Por isso não aparece na estrutura usada no Anexo D.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152</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112</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(20)</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(7)</w:t>
      </w:r>
    </w:p>
    <w:p>
      <w:pPr>
        <w:spacing w:after="20"/>
        <w:ind w:left="454"/>
      </w:pPr>
      <w:r>
        <w:rPr>
          <w:b w:val="0"/>
          <w:i w:val="0"/>
        </w:rPr>
        <w:t>P-41. Duas normas diferentes sobre que espécies são animais de companhia (art. 2.º, cap. I)</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pStyle w:val="Heading2"/>
      </w:pPr>
      <w:r>
        <w:rPr>
          <w:i w:val="0"/>
          <w:color w:val="000000"/>
        </w:rPr>
        <w:t>Estabelecimentos e operadores (2)</w:t>
      </w:r>
    </w:p>
    <w:p>
      <w:pPr>
        <w:spacing w:after="20"/>
        <w:ind w:left="454"/>
      </w:pPr>
      <w:r>
        <w:rPr>
          <w:b w:val="0"/>
          <w:i w:val="0"/>
        </w:rPr>
        <w:t>P-12. Redação por decidir no art. 22.º (art. 22.º, cap. IV)</w:t>
      </w:r>
    </w:p>
    <w:p>
      <w:pPr>
        <w:spacing w:after="20"/>
        <w:ind w:left="454"/>
      </w:pPr>
      <w:r>
        <w:rPr>
          <w:b w:val="0"/>
          <w:i w:val="0"/>
        </w:rPr>
        <w:t>P-42. Os deveres dos CRO e o relatório anual ficam sem coima (art. 140.º, cap. XV)</w:t>
      </w:r>
    </w:p>
    <w:p>
      <w:pPr>
        <w:pStyle w:val="Heading2"/>
      </w:pPr>
      <w:r>
        <w:rPr>
          <w:i w:val="0"/>
          <w:color w:val="000000"/>
        </w:rPr>
        <w:t>Fiscalização e contraordenações (3)</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pStyle w:val="Heading2"/>
      </w:pPr>
      <w:r>
        <w:rPr>
          <w:i w:val="0"/>
          <w:color w:val="000000"/>
        </w:rPr>
        <w:t>Disposições finais e revogações (1)</w:t>
      </w:r>
    </w:p>
    <w:p>
      <w:pPr>
        <w:spacing w:after="20"/>
        <w:ind w:left="454"/>
      </w:pPr>
      <w:r>
        <w:rPr>
          <w:b w:val="0"/>
          <w:i w:val="0"/>
        </w:rPr>
        <w:t>P-07. As portarias mantidas usam detentor no sentido antigo (art. 149.º, cap. XVI)</w:t>
      </w:r>
    </w:p>
    <w:p>
      <w:pPr>
        <w:pStyle w:val="Heading2"/>
      </w:pPr>
      <w:r>
        <w:rPr>
          <w:i w:val="0"/>
          <w:color w:val="000000"/>
        </w:rPr>
        <w:t>Bem-estar e deveres de detenção (1)</w:t>
      </w:r>
    </w:p>
    <w:p>
      <w:pPr>
        <w:spacing w:after="20"/>
        <w:ind w:left="454"/>
      </w:pPr>
      <w:r>
        <w:rPr>
          <w:b w:val="0"/>
          <w:i w:val="0"/>
        </w:rPr>
        <w:t>P-40. A amarração no domicílio fica sem duração máxima nem requisitos verificáveis (art. 19.º, cap. II)</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1.14.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