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Quadro Comparativo — Artigo 21.º do Regulamento (UE) 2023/0447</w:t>
      </w:r>
    </w:p>
    <w:p>
      <w:pPr>
        <w:spacing w:after="160"/>
        <w:jc w:val="center"/>
      </w:pPr>
      <w:r>
        <w:rPr>
          <w:rFonts w:ascii="Arial" w:hAnsi="Arial"/>
          <w:i/>
          <w:sz w:val="18"/>
        </w:rPr>
        <w:t>Requisitos de publicidade em linha e colocação no mercado — correspondência com @rgbeac (jun. 2025), @codigo (DL n.º 214/2013) e legislação vigente</w:t>
      </w:r>
    </w:p>
    <w:p>
      <w:pPr>
        <w:spacing w:before="240" w:after="80"/>
      </w:pPr>
      <w:r>
        <w:rPr>
          <w:rFonts w:ascii="Arial" w:hAnsi="Arial"/>
          <w:b/>
          <w:sz w:val="22"/>
        </w:rPr>
        <w:t>Artigo 21.º — Requisitos de publicidade em linha e colocação no mercado</w:t>
      </w:r>
    </w:p>
    <w:p>
      <w:pPr>
        <w:spacing w:after="80"/>
      </w:pPr>
      <w:r>
        <w:rPr>
          <w:rFonts w:ascii="Arial" w:hAnsi="Arial"/>
          <w:sz w:val="17"/>
        </w:rPr>
        <w:t>O art.º 21.º regula os anúncios online de cães e gatos com vista à colocação no mercado da União, impondo avisos obrigatórios, informação ao adquirente, um sistema de token único de verificação e obrigações para plataformas digitais. Analisa-se cada n.º de forma desagregada.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2551"/>
        <w:gridCol w:w="2551"/>
        <w:gridCol w:w="25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Critério / Determinação do Regulamento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Regulamento (UE) 2023/0447</w:t>
              <w:br/>
              <w:t>(texto PT-PT)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@rgbeac</w:t>
              <w:br/>
              <w:t>(proposta jun. 2025)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@codigo</w:t>
              <w:br/>
              <w:t>(proposta DL n.º 214/2013)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1 — Aviso nos anúncios online</w:t>
              <w:br/>
              <w:t>(operadores)</w:t>
              <w:br/>
              <w:t>Caracteres visíveis e negrito:</w:t>
              <w:br/>
              <w:t>"Um animal não é um brinquedo..."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Quando operadores anunciem online um cão ou gato com vista ao seu colocamento no mercado da União, devem assegurar a apresentação do seguinte aviso em caracteres claramente visíveis e em negrito:</w:t>
              <w:br/>
              <w:t>"Um animal não é um brinquedo. Ter um é uma decisão que muda a vida. É seu dever assegurar a sua saúde e bem-estar e não o abandonar."</w:t>
              <w:br/>
              <w:t>(n.º 1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92.º — requisitos de validade do anúncio de transmissão: sem exigência de aviso de detenção responsável com texto predefinido.</w:t>
              <w:br/>
              <w:t>Art.º 91.º, n.º 2 — obrigação do vendedor de aferir adequação do estilo de vida do comprador: dever pré-contratual de informação, não equivalente ao aviso em negrito.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80.º, n.º 9 — obrigação de disponibilizar informação escrita sobre cuidados gerais e obrigações legais do detentor (no momento da venda, não no anúncio).</w:t>
              <w:br/>
              <w:t>Sem aviso pré-definido em anúncio online.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2 — Aviso nos anúncios online</w:t>
              <w:br/>
              <w:t>(não operadores)</w:t>
              <w:br/>
              <w:t>Aviso de detenção responsável</w:t>
              <w:br/>
              <w:t>(formulação própria ou equivalente)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Quando pessoas singulares ou coletivas que não sejam operadores anunciem online um cão ou gato com vista ao seu colocamento no mercado da União, devem assegurar a apresentação de um aviso sobre detenção responsável utilizando a redação referida no n.º 1 ou uma redação diferente com significado equivalente.</w:t>
              <w:br/>
              <w:t>(n.º 2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 disposição equivalente para particulares/não operadores que anunciem online.</w:t>
              <w:br/>
              <w:t>O art.º 92.º dirige-se apenas a quem anuncia transmissões (sem distinguir operadores de particulares), mas não exige aviso de detenção responsável.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80.º, n.ºs 1 a 3 — comercialização restrita a alojamentos autorizados; particulares sem fins lucrativos excetuados.</w:t>
              <w:br/>
              <w:t>Sem aviso de detenção responsável para anúncios de particulares.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3 (1/2) — Informação ao adquirente</w:t>
              <w:br/>
              <w:t>Prova de identificação/registo</w:t>
              <w:br/>
              <w:t>(art.º 20.º) + espécie, sexo,</w:t>
              <w:br/>
              <w:t>data/país de nascimento, raça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Ao colocar um cão ou gato no mercado na União, a pessoa singular ou coletiva deve fornecer ao adquirente:</w:t>
              <w:br/>
              <w:t>(a) prova de identificação e registo em conformidade com o art.º 20.º;</w:t>
              <w:br/>
              <w:t>(b) espécie; sexo; data e país de nascimento; raça (quando relevante).</w:t>
              <w:br/>
              <w:t>(n.º 3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94.º, n.º 1 — documentos obrigatórios na transmissão: contrato, documento de identificação do animal (art.º 26.º, n.º 6), declaração veterinária de boa saúde (15 dias), historial clínico, licença de detenção (animais perigosos), prova de legalidade.</w:t>
              <w:br/>
              <w:t>Art.º 92.º, n.º 1 — conteúdo do anúncio: data de nascimento, país de origem, fotografia, n.º de identificação eletrónica, raça (pura ou indeterminada).</w:t>
              <w:br/>
              <w:t>Parcialmente coberto (país de origem e data de nascimento no anúncio; prova de identificação na transmissão; sexo não referenciado de forma autónoma).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80.º, n.ºs 5 e 6 — documentos obrigatórios: boletim sanitário/passaporte com etiqueta de microchip, comprovativo de profilaxia, documento de registo com n.º de microchip como documento de transferência de propriedade.</w:t>
              <w:br/>
              <w:t>Art.º 80.º, n.º 7 — comprovativo de profilaxia obrigatória para cães e gatos &gt; 3 meses.</w:t>
              <w:br/>
              <w:t>Parcialmente coberto (identificação e registo cobertos; sexo, país de nascimento não referidos de forma autónoma).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3 (2/2) — Token único de verificação</w:t>
              <w:br/>
              <w:t>nos anúncios online</w:t>
              <w:br/>
              <w:t>(gerado pelo sistema do n.º 5;</w:t>
              <w:br/>
              <w:t>weblink incluído no anúncio)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Caso uma pessoa singular ou coletiva anuncie um cão ou gato online com vista à colocação no mercado da União, deve utilizar o sistema referido no n.º 5 para gerar um token único de verificação e incluir esse token no anúncio, juntamente com uma ligação web para o sistema referido no n.º 5.</w:t>
              <w:br/>
              <w:t>O sistema deve permitir aos adquirentes verificar a autenticidade da identificação, do registo e da propriedade de cães ou gatos anunciados online.</w:t>
              <w:br/>
              <w:t>(n.º 3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93.º — plataformas obrigadas a implementar sistema de controlo e validação da veracidade dos dados do anunciante.</w:t>
              <w:br/>
              <w:t>Sem sistema de token único gerado pela autoridade/Comissão para cada anúncio.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 disposição sobre token único de verificação ou sistema de autenticação de anúncios online.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4 — Plataformas online</w:t>
              <w:br/>
              <w:t>Facilitar conformidade dos anunciantes;</w:t>
              <w:br/>
              <w:t>informar adquirentes do sistema</w:t>
              <w:br/>
              <w:t>de verificação; sem monitorização geral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Os fornecedores de plataformas online devem assegurar que a sua interface é concebida de forma a facilitar o cumprimento das obrigações dos n.ºs 1 a 3, e devem informar os adquirentes, de forma visível, da possibilidade de verificar a autenticidade da identificação, do registo e da propriedade no sistema referido no n.º 5.</w:t>
              <w:br/>
              <w:t>Apenas a pessoa que coloca o animal no mercado é responsável pela exatidão das informações. Sem obrigação geral de monitorização para a plataforma (art.º 8.º do Regulamento (UE) 2022/2065).</w:t>
              <w:br/>
              <w:t>(n.º 4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93.º, n.º 1 — plataformas apenas podem publicitar anúncios que cumpram os requisitos do art.º 92.º.</w:t>
              <w:br/>
              <w:t>Art.º 93.º, n.º 2 — dever de implementar e manter sistema de controlo e validação para verificar a veracidade dos dados introduzidos pelo anunciante.</w:t>
              <w:br/>
              <w:t>Parcialmente coberto (obrigação de validação mais exigente que o Regulamento; sem distinção entre responsabilidade da plataforma e do anunciante; sem obrigação de informar adquirentes do sistema de verificação).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 disposições sobre obrigações de plataformas digitais de anúncios.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5 — Sistema de verificação</w:t>
              <w:br/>
              <w:t>da Comissão</w:t>
              <w:br/>
              <w:t>Gratuito, automatizado, online;</w:t>
              <w:br/>
              <w:t>token único; proteção de dados;</w:t>
              <w:br/>
              <w:t>possibilidade de delegação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 Comissão garante que um sistema de verificação automatizado da autenticidade da identificação, do registo e da propriedade de cães ou gatos anunciados online, utilizando a base de dados referida no art.º 23.º, está publicamente disponível online e a título gratuito, e gera o token único de verificação referido no n.º 3.</w:t>
              <w:br/>
              <w:t>A Comissão pode confiar o desenvolvimento e manutenção a uma entidade independente.</w:t>
              <w:br/>
              <w:t>O sistema deve assegurar: verificação fiável da autenticidade utilizando bases de dados nacionais; conformidade com proteção de dados (Regulamentos (UE) 2018/1725 e 2016/679).</w:t>
              <w:br/>
              <w:t>(n.º 5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20.º (SIAC) — sistema nacional de informação de animais de companhia, gerido pela DGAV, com dados de rastreabilidade, identificação e titularidade.</w:t>
              <w:br/>
              <w:t>O SIAC é a base de dados que alimentaria o sistema de verificação, mas o @rgbeac não prevê um sistema de verificação online público com token único.</w:t>
              <w:br/>
              <w:t>Não coberto.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Art.º 53.º-55.º — base de dados nacional (SIAC) para identificação e registo, gerida pela DGAV.</w:t>
              <w:br/>
              <w:t>Sem sistema de verificação online público com token único.</w:t>
              <w:br/>
              <w:t>Não coberto.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n.º 6 — Atos de execução</w:t>
              <w:br/>
              <w:t>Informação de prova de ID/registo;</w:t>
              <w:br/>
              <w:t>informação ao sistema de verificação;</w:t>
              <w:br/>
              <w:t>características técnicas do sistema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A Comissão adota atos de execução que estabelecem:</w:t>
              <w:br/>
              <w:t>(a) informações a fornecer como prova de identificação e registo (n.º 3, al. (a));</w:t>
              <w:br/>
              <w:t>(b) informações a fornecer ao sistema de verificação do n.º 5 para demonstrar autenticidade;</w:t>
              <w:br/>
              <w:t>(c) características do sistema do n.º 5: funções essenciais, requisitos técnicos/eletrónicos/criptográficos, passos procedimentais para o colocador e para o adquirente.</w:t>
              <w:br/>
              <w:t>Prazos: al. (a) até 2 anos; als. (b) e (c) até 3 anos após entrada em vigor.</w:t>
              <w:br/>
              <w:t>(n.º 6 do art.º 21.º)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 equivalência a atos de execução da Comissão Europeia.</w:t>
              <w:br/>
              <w:t>O @rgbeac prevê portarias nacionais para regulamentação de matérias específicas (ex.: art.º 58.º — requisitos de alojamento), mas não relativas a sistemas de verificação online ou interoperabilidade europeia.</w:t>
              <w:br/>
              <w:t>Não aplicável.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Arial" w:hAnsi="Arial"/>
                <w:sz w:val="17"/>
              </w:rPr>
              <w:t>Sem equivalência a atos de execução da Comissão Europeia.</w:t>
              <w:br/>
              <w:t>Não aplicável.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