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FICHA TÉCNICA DE RESPOSTA A INQUIRIÇÃO PARLAMENTAR</w:t>
      </w:r>
    </w:p>
    <w:p>
      <w:pPr>
        <w:jc w:val="center"/>
      </w:pPr>
      <w:r>
        <w:rPr>
          <w:rFonts w:ascii="Calibri" w:hAnsi="Calibri"/>
          <w:b/>
          <w:sz w:val="22"/>
        </w:rPr>
        <w:t>Análise Comparativa da Legislação sobre Bem-Estar de Animais de Companhia</w:t>
        <w:br/>
        <w:t>Regulamento (UE) 2023/0447 e Ordenamento Nacional</w:t>
      </w:r>
    </w:p>
    <w:p>
      <w:pPr>
        <w:jc w:val="center"/>
      </w:pPr>
      <w:r>
        <w:rPr>
          <w:i/>
          <w:sz w:val="18"/>
        </w:rPr>
        <w:t>Documento de apoio da DGAV para inquirição da Assembleia da República</w:t>
        <w:br/>
        <w:t>Março de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fill="CCCCCC"/>
          </w:tcPr>
          <w:p>
            <w:r>
              <w:rPr>
                <w:b/>
              </w:rPr>
              <w:t>Designação</w:t>
            </w:r>
          </w:p>
        </w:tc>
        <w:tc>
          <w:tcPr>
            <w:tcW w:type="dxa" w:w="6236"/>
            <w:shd w:fill="CCCCCC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Pontos Defensivos /</w:t>
              <w:br/>
              <w:t>Síntese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O Regulamento (UE) 2023/0447, relativo ao bem-estar de cães e gatos e à sua rastreabilidade, encontra-se em fase de consolidação legislativa europeia. Simultaneamente, a Direção-Geral de Alimentação e Veterinária (DGAV) procede a uma análise aprofundada da legislação portuguesa vigente para: (i) avaliar a compatibilidade do ordenamento nacional com as novas normas europeias; (ii) identificar lacunas normativas e remissões críticas; (iii) preparar a consolidação legislativa nacional, que deverá integrar os regimes contidos no Código do Animal, na proposta de Regime Geral do Bem-Estar dos Animais de Companhia (RGBEAC) e em diplomas legislativos anteriores.</w:t>
              <w:br/>
              <w:br/>
              <w:t>Este processo é complexo e multidisciplinar, envolvendo a compatibilização de 19 diplomas legislativos de diferentes épocas, aliado ao alinhamento com as normas europeias de aplicação direta. A morosidade relativa reflecte a necessidade de um trabalho metodológico estruturado, que garanta coerência jurídica e evite sobreposições ou contradições que possam prejudicar os destinatários da proteção — os próprios animais e os operadores económicos afectados.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Ponto de Situação /</w:t>
              <w:br/>
              <w:t>Breve Contextualização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FASE DE INVESTIGAÇÃO COMPLETA</w:t>
              <w:br/>
              <w:br/>
              <w:t>A DGAV concluiu a investigação exaustiva da legislação portuguesa vigente sobre bem-estar e proteção de animais, com identificação de 19 diplomas relevantes, abrangendo: Legislação geral de proteção (Lei 92/95, Lei 8/2017); Bem-estar de animais de companhia (DL 276/2001, DL 82/2019); Identificação e rastreabilidade SIAC (DL 82/2019); Animais errantes e centros de recolha (Lei 27/2016); Animais perigosos (DL 315/2009); Raiva e zoonoses (DL 314/2003, Port. 264/2013); Comércio de animais (Lei 95/2017); Cães de assistência (DL 74/2007); Circos e espetáculos (Lei 20/2019).</w:t>
              <w:br/>
              <w:br/>
              <w:t>PROGRESSO NA ANÁLISE COMPARATIVA</w:t>
              <w:br/>
              <w:br/>
              <w:t>Análise artigo a artigo do Regulamento 2023/0447 (21 artigos relevantes) em confronto com legislação portuguesa vigente, proposta RGBEAC e Código do Animal. Mapeadas correspondências entre Regulamento e diplomas nacionais. Identificadas divergências, sobreposições e lacunas normativas. Geradas ferramentas de análise (Excel comparativo, documentos estruturados). Análise de impacto normativo em fase de consolidação.</w:t>
              <w:br/>
              <w:br/>
              <w:t>AGUARDANDO CONSOLIDAÇÃO LEGISLATIVA EUROPEIA</w:t>
              <w:br/>
              <w:br/>
              <w:t>O processo de transposição e implementação nacional está dependente da conclusão da negociação europeia (Trilogue em curso), prevendo-se que o texto final será publicado no Jornal Oficial da UE durante o segundo semestre de 2026.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Problemas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MOROSIDADE LEGISLATIVA EUROPEIA</w:t>
              <w:br/>
              <w:t>O Regulamento 2023/0447 está em fase de consolidação há mais de dois anos. Esta demora impossibilita o cumprimento de calendários nacionais de implementação, mantendo a incerteza jurídica sobre o regime aplicável a operadores económicos (criadores, comerciantes, abrigos).</w:t>
              <w:br/>
              <w:br/>
              <w:t>COMPLEXIDADE NORMATIVA ACUMULADA</w:t>
              <w:br/>
              <w:t>A legislação portuguesa sobre animais de companhia é fragmentada em 19 diplomas de diferentes épocas, com remissões cruzadas, regimes transitórios específicos e overlaps substanciais. O Regulamento europeu introduz novos padrões que não podem ser simplesmente sobrepostos; exigem uma reestruturação coerente do ordenamento nacional.</w:t>
              <w:br/>
              <w:br/>
              <w:t>CICLO DE ATUALIZAÇÃO CONTÍNUA</w:t>
              <w:br/>
              <w:t>Durante a análise em curso, a proposta de Regulamento sofreu ajustamentos sucessivos. Cada alteração no texto europeu obriga a reanálise e atualização das correspondências nacionais, atrasando a consolidação final.</w:t>
              <w:br/>
              <w:br/>
              <w:t>EQUILÍBRIO ENTRE INOVAÇÃO E VIABILIDADE OPERACIONAL</w:t>
              <w:br/>
              <w:t>O novo paradigma de proteção animal (reconhecimento de senciência, bem-estar aprofundado) é compatível com o objetivo, mas a sua implementação num contexto de serviços sobrecarregados (inspetores municipais, médicos veterinários, autoridades de bem-estar) exige cautela. Um regime sancionatório excessivamente restritivo no curto prazo pode gerar danos colaterais — eutanásias não necessárias, abandono de animais por impossibilidade de compliance, pressão sobre estruturas de acolhimento já saturadas — prejudicando precisamente os animais que se pretende proteger.</w:t>
              <w:br/>
              <w:br/>
              <w:t>CAPACIDADE FISCAL E ADMINISTRATIVA</w:t>
              <w:br/>
              <w:t>A implementação de novos requisitos (bases de dados de rastreabilidade, inspeção de operadores, programas de formação de cuidadores) implica investimento em infraestrutura técnica e pessoal especializado. Este investimento não foi ainda orçamentado nem assegurado.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Mais Informações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LEGISLAÇÃO E DOCUMENTOS DE REFERÊNCIA</w:t>
              <w:br/>
              <w:br/>
              <w:t>Diplomas principais (nacionais):</w:t>
              <w:br/>
              <w:t>Lei 92/95, de 12 de setembro — Proteção aos animais</w:t>
              <w:br/>
              <w:t>DL 276/2001, de 17 de outubro — Bem-estar de animais de companhia</w:t>
              <w:br/>
              <w:t>DL 82/2019, de 27 de junho — Identificação e Sistema de Informação de Animais de Companhia (SIAC)</w:t>
              <w:br/>
              <w:t>Lei 27/2016, de 23 de agosto — Rede de centros de recolha; proibição do abate</w:t>
              <w:br/>
              <w:t>Lei 95/2017, de 23 de agosto — Comércio de animais de companhia</w:t>
              <w:br/>
              <w:t>Lei 8/2017, de 3 de março — Estatuto jurídico dos animais</w:t>
              <w:br/>
              <w:t>Lei 69/2014, de 29 de agosto e Lei 39/2020 — Crimes de maus-tratos</w:t>
              <w:br/>
              <w:br/>
              <w:t>Regulamento Europeu:</w:t>
              <w:br/>
              <w:t>Regulamento (UE) 2023/0447 — Bem-estar de cães e gatos e rastreabilidade</w:t>
              <w:br/>
              <w:br/>
              <w:t>ANÁLISE REALIZADA</w:t>
              <w:br/>
              <w:br/>
              <w:t>Mapeamento de 19 diplomas nacionais com identificação de tema, cobertura material e impacto esperado. Análise artigo a artigo de 21 artigos do Regulamento 2023/0447 em confronto com legislação nacional. Identificação de correspondências entre Regulamento e legislação nacional (RGBEAC, Código Animal, legislação vigente). Mapeamento de 6 eixos de harmonização: Detenção responsável, Reprodução, Rastreabilidade, Animais errantes, Saúde e bem-estar, Comércio eletrônico. Geração de ferramentas de análise: Excel comparativo artigo a artigo, documentação estruturada de divergências por tema, scripts de integração para atualização contínua.</w:t>
              <w:br/>
              <w:br/>
              <w:t>PRÓXIMAS ETAPAS</w:t>
              <w:br/>
              <w:br/>
              <w:t>Consolidação da proposta de Regime Geral do Bem-Estar dos Animais de Companhia com as conclusões da análise comparativa. Análise de impacto normativo com avaliação dos efeitos esperados na população animal, operadores económicos e autoridades competentes. Alinhamento com o texto final do Regulamento 2023/0447 (esperado segundo semestre de 2026). Participação nas negociações de transposição com a Comissão Europeia e Estados-Membros. Consulta pública e articulação com stakeholders (municípios, veterinários, organizações de bem-estar animal, criadores, comerciantes).</w:t>
              <w:br/>
              <w:br/>
              <w:t>RESPONSÁVEL ADMINISTRATIVO</w:t>
              <w:br/>
              <w:br/>
              <w:t>Direção-Geral de Alimentação e Veterinária (DGAV), Divisão de Bem-Estar Animal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