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1.19</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40"/>
      </w:pPr>
    </w:p>
    <w:p>
      <w:pPr>
        <w:spacing w:after="40"/>
      </w:pPr>
      <w:r>
        <w:rPr>
          <w:b/>
          <w:i w:val="0"/>
        </w:rPr>
        <w:t>10.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Esta norma pode abranger o abate por sobrelotação num CRO.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Esta norma pode abranger o abate sem necessidade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(20)</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(7)</w:t>
      </w:r>
    </w:p>
    <w:p>
      <w:pPr>
        <w:spacing w:after="20"/>
        <w:ind w:left="454"/>
      </w:pPr>
      <w:r>
        <w:rPr>
          <w:b w:val="0"/>
          <w:i w:val="0"/>
        </w:rPr>
        <w:t>REG-01. Duas normas diferentes sobre que espécies são animais de companhia (art. 2.º, cap. I)</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pStyle w:val="Heading2"/>
      </w:pPr>
      <w:r>
        <w:rPr>
          <w:i w:val="0"/>
          <w:color w:val="000000"/>
        </w:rPr>
        <w:t>EST. Estabelecimentos e operadores (2)</w:t>
      </w:r>
    </w:p>
    <w:p>
      <w:pPr>
        <w:spacing w:after="20"/>
        <w:ind w:left="454"/>
      </w:pPr>
      <w:r>
        <w:rPr>
          <w:b w:val="0"/>
          <w:i w:val="0"/>
        </w:rPr>
        <w:t>TIT-12. Redação por decidir no art. 22.º (art. 22.º, cap. IV)</w:t>
      </w:r>
    </w:p>
    <w:p>
      <w:pPr>
        <w:spacing w:after="20"/>
        <w:ind w:left="454"/>
      </w:pPr>
      <w:r>
        <w:rPr>
          <w:b w:val="0"/>
          <w:i w:val="0"/>
        </w:rPr>
        <w:t>SAN-01. Os deveres dos CRO e o relatório anual ficam sem coima (art. 140.º, cap. XV)</w:t>
      </w:r>
    </w:p>
    <w:p>
      <w:pPr>
        <w:pStyle w:val="Heading2"/>
      </w:pPr>
      <w:r>
        <w:rPr>
          <w:i w:val="0"/>
          <w:color w:val="000000"/>
        </w:rPr>
        <w:t>SAN. Fiscalização e contraordenações (4)</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(2)</w:t>
      </w:r>
    </w:p>
    <w:p>
      <w:pPr>
        <w:spacing w:after="20"/>
        <w:ind w:left="454"/>
      </w:pPr>
      <w:r>
        <w:rPr>
          <w:b w:val="0"/>
          <w:i w:val="0"/>
        </w:rPr>
        <w:t>BEM-01. A amarração no domicílio fica sem duração máxima nem requisitos verificáveis (art. 19.º, cap. II)</w:t>
      </w:r>
    </w:p>
    <w:p>
      <w:pPr>
        <w:spacing w:after="20"/>
        <w:ind w:left="454"/>
      </w:pPr>
      <w:r>
        <w:rPr>
          <w:b w:val="0"/>
          <w:i w:val="0"/>
        </w:rPr>
        <w:t>FIN-01. A revogação total da Lei 92/95 apaga normas que não tratam de animais de companhia (art. 149.º, cap. XVI)</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1.19.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