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GUIA INTEGRAL DO PROCESSO — análise completa, fragilidades graduadas, confronto documental, jurisprudência e estratégia</w:t>
      </w:r>
    </w:p>
    <w:p>
      <w:pPr>
        <w:pBdr>
          <w:left w:val="single" w:color="999999" w:sz="12"/>
        </w:pBdr>
        <w:spacing w:after="60"/>
        <w:ind w:left="360"/>
      </w:pPr>
      <w:r>
        <w:rPr>
          <w:b/>
          <w:bCs/>
          <w:color w:val="444444"/>
        </w:rPr>
        <w:t xml:space="preserve">Data:</w:t>
      </w:r>
      <w:r>
        <w:rPr>
          <w:color w:val="444444"/>
        </w:rPr>
        <w:t xml:space="preserve"> 27 de julho de 2026</w:t>
      </w:r>
    </w:p>
    <w:p>
      <w:pPr>
        <w:pBdr>
          <w:left w:val="single" w:color="999999" w:sz="12"/>
        </w:pBdr>
        <w:spacing w:after="60"/>
        <w:ind w:left="360"/>
      </w:pPr>
      <w:r>
        <w:rPr>
          <w:b/>
          <w:bCs/>
          <w:color w:val="444444"/>
        </w:rPr>
        <w:t xml:space="preserve">Processos DGAV:</w:t>
      </w:r>
      <w:r>
        <w:rPr>
          <w:color w:val="444444"/>
        </w:rPr>
        <w:t xml:space="preserve"> P.3738/26 (exposições do denunciante) · P.4120/26 (MCP + LADA) · P.15607/25 (antecedente, concluído)</w:t>
      </w:r>
    </w:p>
    <w:p>
      <w:pPr>
        <w:pBdr>
          <w:left w:val="single" w:color="999999" w:sz="12"/>
        </w:pBdr>
        <w:spacing w:after="60"/>
        <w:ind w:left="360"/>
      </w:pPr>
      <w:r>
        <w:rPr>
          <w:b/>
          <w:bCs/>
          <w:color w:val="444444"/>
        </w:rPr>
        <w:t xml:space="preserve">Elaborado a partir da leitura integral do repositório</w:t>
      </w:r>
      <w:r>
        <w:rPr>
          <w:color w:val="444444"/>
        </w:rPr>
        <w:t xml:space="preserve"> (índice documental na secção 11), incluindo os cinco documentos carregados a 27-07: Informação 105506/26 despachada, Informação 109085/26 despachada, ofício 106881/26-E à interessada, ofício 109157/26-S ao requerente e relatório da vistoria de seguimento de 21-07.</w:t>
      </w:r>
    </w:p>
    <w:p>
      <w:pPr>
        <w:pBdr>
          <w:left w:val="single" w:color="999999" w:sz="12"/>
        </w:pBdr>
        <w:spacing w:after="60"/>
        <w:ind w:left="360"/>
      </w:pPr>
      <w:r>
        <w:rPr>
          <w:b/>
          <w:bCs/>
          <w:color w:val="444444"/>
        </w:rPr>
        <w:t xml:space="preserve">Natureza:</w:t>
      </w:r>
      <w:r>
        <w:rPr>
          <w:color w:val="444444"/>
        </w:rPr>
        <w:t xml:space="preserve"> documento pessoal de trabalho, integralmente franco. Não é peça do processo nem deve ser mostrado sem revisão prévia.</w:t>
      </w:r>
    </w:p>
    <w:p>
      <w:pPr>
        <w:pBdr>
          <w:bottom w:val="single" w:color="999999" w:sz="6"/>
        </w:pBdr>
        <w:spacing w:after="160"/>
      </w:pPr>
    </w:p>
    <w:p>
      <w:pPr>
        <w:pStyle w:val="Heading2"/>
        <w:spacing w:after="120" w:before="240"/>
      </w:pPr>
      <w:r>
        <w:t xml:space="preserve">0. Finalidade, método e limites</w:t>
      </w:r>
    </w:p>
    <w:p>
      <w:pPr>
        <w:spacing w:after="120"/>
        <w:jc w:val="both"/>
      </w:pPr>
      <w:r>
        <w:t xml:space="preserve">Este guia consolida tudo o que os documentos do repositório permitem estabelecer, cruza-os com a última comunicação do denunciante (24-07-2026) e organiza três avaliações graduadas: (i) fragilidades da atuação da DGAV, da mais grave à menos grave; (ii) pontos fortes e fracos da atuação do denunciante, igualmente graduados; (iii) a mesma análise centrada exclusivamente na posição pessoal do técnico signatário (Rui André Vidal). Cada avaliação segue o mesmo esquema: </w:t>
      </w:r>
      <w:r>
        <w:rPr>
          <w:b/>
          <w:bCs/>
        </w:rPr>
        <w:t xml:space="preserve">facto → fonte documental → porque é relevante → quem pode explorá-lo e como → mitigação existente → ação recomendada</w:t>
      </w:r>
      <w:r>
        <w:t xml:space="preserve">. A graduação usa quatro níveis: </w:t>
      </w:r>
      <w:r>
        <w:rPr>
          <w:b/>
          <w:bCs/>
        </w:rPr>
        <w:t xml:space="preserve">CRÍTICA</w:t>
      </w:r>
      <w:r>
        <w:t xml:space="preserve"> (pode inverter um resultado ou gerar responsabilidade), </w:t>
      </w:r>
      <w:r>
        <w:rPr>
          <w:b/>
          <w:bCs/>
        </w:rPr>
        <w:t xml:space="preserve">ALTA</w:t>
      </w:r>
      <w:r>
        <w:t xml:space="preserve"> (dá munição séria numa sede externa), </w:t>
      </w:r>
      <w:r>
        <w:rPr>
          <w:b/>
          <w:bCs/>
        </w:rPr>
        <w:t xml:space="preserve">MÉDIA</w:t>
      </w:r>
      <w:r>
        <w:t xml:space="preserve"> (censurável ou explorável, sem consequência provável), </w:t>
      </w:r>
      <w:r>
        <w:rPr>
          <w:b/>
          <w:bCs/>
        </w:rPr>
        <w:t xml:space="preserve">BAIXA</w:t>
      </w:r>
      <w:r>
        <w:t xml:space="preserve"> (cosmética ou já neutralizada).</w:t>
      </w:r>
    </w:p>
    <w:p>
      <w:pPr>
        <w:spacing w:after="120"/>
        <w:jc w:val="both"/>
      </w:pPr>
      <w:r>
        <w:rPr>
          <w:b/>
          <w:bCs/>
        </w:rPr>
        <w:t xml:space="preserve">Limites declarados, para que este documento não minta por omissão: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1. </w:t>
      </w:r>
      <w:r>
        <w:t xml:space="preserve">O teor do inquérito </w:t>
      </w:r>
      <w:r>
        <w:rPr>
          <w:b/>
          <w:bCs/>
        </w:rPr>
        <w:t xml:space="preserve">NUIPC 000169/26.4GBFND</w:t>
      </w:r>
      <w:r>
        <w:t xml:space="preserve"> é desconhecido — tudo o que se diz sobre a frente criminal é inferência a partir do que o denunciante escreve;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2. </w:t>
      </w:r>
      <w:r>
        <w:t xml:space="preserve">O texto integral da </w:t>
      </w:r>
      <w:r>
        <w:rPr>
          <w:b/>
          <w:bCs/>
        </w:rPr>
        <w:t xml:space="preserve">queixa dele à CADA</w:t>
      </w:r>
      <w:r>
        <w:t xml:space="preserve"> não está no repositório — conhece-se pela referência que ele próprio lhe faz (</w:t>
      </w:r>
      <w:r>
        <w:t xml:space="preserve">«aditamento à queixa pendente»</w:t>
      </w:r>
      <w:r>
        <w:t xml:space="preserve">);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3. </w:t>
      </w:r>
      <w:r>
        <w:t xml:space="preserve">O ofício </w:t>
      </w:r>
      <w:r>
        <w:rPr>
          <w:b/>
          <w:bCs/>
        </w:rPr>
        <w:t xml:space="preserve">105524/26-S</w:t>
      </w:r>
      <w:r>
        <w:t xml:space="preserve"> (resposta de 15-07 ao denunciante) não está no repositório em PDF; o seu conteúdo reconstitui-se pelos checkpoints e pela tréplica dele, que o cita ponto a ponto;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4. </w:t>
      </w:r>
      <w:r>
        <w:t xml:space="preserve">A jurisprudência citada na secção 10 foi verificada por pesquisa online em 24 e 27-07-2026 ao nível do sumário/relato disponível — antes de usar qualquer acórdão numa peça oficial, confirmar o texto integral em dgsi.pt;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5. </w:t>
      </w:r>
      <w:r>
        <w:t xml:space="preserve">As comunicações verbais (chamada da Diretora com o denunciante em 13-07; complemento telefónico do jurídico em 03-07) não têm registo escrito — o que se sabe delas vem de fontes interessadas.</w:t>
      </w:r>
    </w:p>
    <w:p>
      <w:pPr>
        <w:pBdr>
          <w:bottom w:val="single" w:color="999999" w:sz="6"/>
        </w:pBdr>
        <w:spacing w:after="160"/>
      </w:pPr>
    </w:p>
    <w:p>
      <w:pPr>
        <w:pStyle w:val="Heading2"/>
        <w:spacing w:after="120" w:before="240"/>
      </w:pPr>
      <w:r>
        <w:t xml:space="preserve">1. Intervenientes e referências fixas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4680"/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Identificação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Denunciante / requerente LADA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Rui Manuel Martins da Mónica</w:t>
            </w:r>
            <w:r>
              <w:rPr>
                <w:sz w:val="18"/>
                <w:szCs w:val="18"/>
              </w:rPr>
              <w:t xml:space="preserve"> (NIF 212148923) — ex-titular do registo PT 2 118 FL (cessado 09-04-2026); sócio-gerente da Acinom Agricultura Unipessoal Lda.; comproprietário do prédio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Requerente da MCP / responsável atual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Susana Maria Borges Walgode</w:t>
            </w:r>
            <w:r>
              <w:rPr>
                <w:sz w:val="18"/>
                <w:szCs w:val="18"/>
              </w:rPr>
              <w:t xml:space="preserve"> (NIF 217504086) — ex-cônjuge; comproprietária registada; titular do registo </w:t>
            </w:r>
            <w:r>
              <w:rPr>
                <w:b/>
                <w:bCs/>
                <w:sz w:val="18"/>
                <w:szCs w:val="18"/>
              </w:rPr>
              <w:t xml:space="preserve">B642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«Canil D'Aurora Barks»</w:t>
            </w:r>
            <w:r>
              <w:rPr>
                <w:sz w:val="18"/>
                <w:szCs w:val="18"/>
              </w:rPr>
              <w:t xml:space="preserve">, emitido 15-07-2026)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Diretora de Serviços (DSAVR Centro)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Rosa Maria Albuquerque Rodrigues</w:t>
            </w:r>
            <w:r>
              <w:rPr>
                <w:sz w:val="18"/>
                <w:szCs w:val="18"/>
              </w:rPr>
              <w:t xml:space="preserve"> — assinou os ofícios 63167/26-E, resposta de 01-07, 105524/26-S, 106881/26-E, 109157/26-S e os despachos de 23-07 (delegação: Despacho n.º 2366/2026, DR 2.ª série n.º 38, 24-02-2026)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Diretora-Geral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Susana Guedes Pombo (destinatária das escaladas dele)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Técnico Superior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Rui André Vidal</w:t>
            </w:r>
            <w:r>
              <w:rPr>
                <w:sz w:val="18"/>
                <w:szCs w:val="18"/>
              </w:rPr>
              <w:t xml:space="preserve"> — signatário das Informações 63109/26, 69639/26, 85373/26, 105506/26, 109085/26 e 109154/26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Chefe da DAJA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Dr. Edward Andrade (orientações de 03-07 e 18-07)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Local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Estrada Municipal 1075, 6230-783 Vale de Prazeres (lugar de Monte Leal / Monte da Castanheira), Fundão — prédio misto descrito na CRP do Fundão sob o n.º </w:t>
            </w:r>
            <w:r>
              <w:rPr>
                <w:b/>
                <w:bCs/>
                <w:sz w:val="18"/>
                <w:szCs w:val="18"/>
              </w:rPr>
              <w:t xml:space="preserve">685/19980413</w:t>
            </w:r>
            <w:r>
              <w:rPr>
                <w:sz w:val="18"/>
                <w:szCs w:val="18"/>
              </w:rPr>
              <w:t xml:space="preserve"> (matrizes: rústica 1707, urbana 1191)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Vistoria de seguimento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21-07-2026, técnicos Filipe Duarte e colega (DGAV) — sem intervenção do signatário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160"/>
      </w:pPr>
    </w:p>
    <w:p>
      <w:pPr>
        <w:pStyle w:val="Heading2"/>
        <w:spacing w:after="120" w:before="240"/>
      </w:pPr>
      <w:r>
        <w:t xml:space="preserve">2. Cronologia integral comentada</w:t>
      </w:r>
    </w:p>
    <w:p>
      <w:pPr>
        <w:spacing w:after="120"/>
        <w:jc w:val="both"/>
      </w:pPr>
      <w:r>
        <w:t xml:space="preserve">A cronologia é a espinha do processo: quase todos os ataques dele são ataques a datas, e quase todas as defesas são datas documentadas.</w:t>
      </w:r>
    </w:p>
    <w:p>
      <w:pPr>
        <w:pStyle w:val="Heading3"/>
        <w:spacing w:after="120" w:before="240"/>
      </w:pPr>
      <w:r>
        <w:t xml:space="preserve">Fase 1 — o antecedente de 2025 (P.15607/25)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3120"/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Facto</w:t>
            </w:r>
          </w:p>
        </w:tc>
        <w:tc>
          <w:tcPr>
            <w:tcW w:type="dxa" w:w="3120"/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Fonte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27-06-2025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Denúncia dele à Veterinária Municipal do Fundão (maus-tratos; o canídeo viria a morrer dois dias depois)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citada na réplica de 01-07, ponto 7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jul-2025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Transferência de competências ICNF → DGAV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referida nas Informações; explica os impressos ICNF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20-10-2025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1.ª comunicação dele à DGAV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Anexo 2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out-2025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Verificação SMV Fundão + GNR: maus-tratos </w:t>
            </w:r>
            <w:r>
              <w:rPr>
                <w:b/>
                <w:bCs/>
                <w:sz w:val="18"/>
                <w:szCs w:val="18"/>
              </w:rPr>
              <w:t xml:space="preserve">não confirmados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Anexos 3–4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27-10-2025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Resultado comunicado; processo concluído. O ofício contém a frase que ele cita até hoje: </w:t>
            </w:r>
            <w:r>
              <w:rPr>
                <w:sz w:val="18"/>
                <w:szCs w:val="18"/>
              </w:rPr>
              <w:t xml:space="preserve">«sem prejuízo de demais tramitação processual que se afigure necessária, designadamente no âmbito da legislação atinente ao bem-estar e sanidade animal»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Anexo 5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/>
          <w:bCs/>
        </w:rPr>
        <w:t xml:space="preserve">Comentário:</w:t>
      </w:r>
      <w:r>
        <w:t xml:space="preserve"> o processo de 2025 foi concluído e comunicado — formalmente impecável. O passivo que deixou não é jurídico, é retórico: a frase final do ofício de 27-10 lê-se como promessa de vigilância, e ele usa-a como métrica de incumprimento (ver F7).</w:t>
      </w:r>
    </w:p>
    <w:p>
      <w:pPr>
        <w:pStyle w:val="Heading3"/>
        <w:spacing w:after="120" w:before="240"/>
      </w:pPr>
      <w:r>
        <w:t xml:space="preserve">Fase 2 — março–abril de 2026: o nó do processo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3120"/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Facto</w:t>
            </w:r>
          </w:p>
        </w:tc>
        <w:tc>
          <w:tcPr>
            <w:tcW w:type="dxa" w:w="3120"/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Fonte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06-03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Exposição dele: </w:t>
            </w:r>
            <w:r>
              <w:rPr>
                <w:sz w:val="18"/>
                <w:szCs w:val="18"/>
              </w:rPr>
              <w:t xml:space="preserve">«ocupação abusiva e atividade clandestina»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Anexo 6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12-03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Visita do NPA/GNR ao local (denúncia FISC0002514/26): 18 adultos verificados, </w:t>
            </w:r>
            <w:r>
              <w:rPr>
                <w:sz w:val="18"/>
                <w:szCs w:val="18"/>
              </w:rPr>
              <w:t xml:space="preserve">«bem tratados, vacinados, registados e licenciados, com água e comida»</w:t>
            </w:r>
            <w:r>
              <w:rPr>
                <w:sz w:val="18"/>
                <w:szCs w:val="18"/>
              </w:rPr>
              <w:t xml:space="preserve"> (RS 24/26)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Auto GNR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13-03 e 17-03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Susana Walgode, </w:t>
            </w:r>
            <w:r>
              <w:rPr>
                <w:b/>
                <w:bCs/>
                <w:sz w:val="18"/>
                <w:szCs w:val="18"/>
              </w:rPr>
              <w:t xml:space="preserve">por iniciativa própria</w:t>
            </w:r>
            <w:r>
              <w:rPr>
                <w:sz w:val="18"/>
                <w:szCs w:val="18"/>
              </w:rPr>
              <w:t xml:space="preserve"> e após procurar o NAV Fundão, apresenta pedido de alteração de funcionamento do PT 2 118 FL (designação comercial — afixo </w:t>
            </w:r>
            <w:r>
              <w:rPr>
                <w:sz w:val="18"/>
                <w:szCs w:val="18"/>
              </w:rPr>
              <w:t xml:space="preserve">«D'Aurora Barks»</w:t>
            </w:r>
            <w:r>
              <w:rPr>
                <w:sz w:val="18"/>
                <w:szCs w:val="18"/>
              </w:rPr>
              <w:t xml:space="preserve">, aprovado pelo CPC desde 22-03-2023 — e contactos), em nome próprio, com assinatura própria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.eml de 13/17-03; auto GNR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23-03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GNR remete o RS 24/26 à DGAV (OFI00069/26) e </w:t>
            </w:r>
            <w:r>
              <w:rPr>
                <w:b/>
                <w:bCs/>
                <w:sz w:val="18"/>
                <w:szCs w:val="18"/>
              </w:rPr>
              <w:t xml:space="preserve">pede informação do resultado das diligências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Auto GNR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31-03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Nova denúncia dele à GNR (FISC0003416/26)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Anexo 16b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05-04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 NPA reúne </w:t>
            </w:r>
            <w:r>
              <w:rPr>
                <w:b/>
                <w:bCs/>
                <w:sz w:val="18"/>
                <w:szCs w:val="18"/>
              </w:rPr>
              <w:t xml:space="preserve">presencialmente</w:t>
            </w:r>
            <w:r>
              <w:rPr>
                <w:sz w:val="18"/>
                <w:szCs w:val="18"/>
              </w:rPr>
              <w:t xml:space="preserve"> com ele e esclarece-o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Anexo 16b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08-04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Ele remete o relatório SEPNA à DGAV; a DGAV emite o ofício 63167/26-E solicitando-lhe a comunicação de cessação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Anexos 7–9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09-04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Ele submete a cessação do PT 2 118 FL, assinada digitalmente em nome próprio; registo inativo desde essa data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Anexo 10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10-04/22-04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Ofício 64462/26-E (indeferimento do pedido dela, por falta de subscrição do titular — art. 3.º/11 do DL 276/2001): </w:t>
            </w:r>
            <w:r>
              <w:rPr>
                <w:b/>
                <w:bCs/>
                <w:sz w:val="18"/>
                <w:szCs w:val="18"/>
              </w:rPr>
              <w:t xml:space="preserve">datado de 10-04, expedido a 22-04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Anexo 13; Informação 109085/26, alínea b)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13-04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Ação de controlo DGAV+NPA sem aviso prévio: 18 adultos + 12 cachorros; leitura de transponders conferida com o SIAC (concordância); </w:t>
            </w:r>
            <w:r>
              <w:rPr>
                <w:b/>
                <w:bCs/>
                <w:sz w:val="18"/>
                <w:szCs w:val="18"/>
              </w:rPr>
              <w:t xml:space="preserve">sem indícios de maus-tratos</w:t>
            </w:r>
            <w:r>
              <w:rPr>
                <w:sz w:val="18"/>
                <w:szCs w:val="18"/>
              </w:rPr>
              <w:t xml:space="preserve">; 6 inconformidades ao DL 276/2001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Informação 105506/26, alíneas e)–g); Anexo 11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15-04 e 22-04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Comunicações das medidas corretivas à detentora; respostas dela entre 20-04 e 06-05 com evidências (incl. relatório do médico veterinário assistente de 30-04)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Informação 105506/26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21-04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«Aditamento urgente — fraude administrativa»</w:t>
            </w:r>
            <w:r>
              <w:rPr>
                <w:sz w:val="18"/>
                <w:szCs w:val="18"/>
              </w:rPr>
              <w:t xml:space="preserve"> dele; SEPNA encerra o seu lado e </w:t>
            </w:r>
            <w:r>
              <w:rPr>
                <w:b/>
                <w:bCs/>
                <w:sz w:val="18"/>
                <w:szCs w:val="18"/>
              </w:rPr>
              <w:t xml:space="preserve">informa-o por escrito</w:t>
            </w:r>
            <w:r>
              <w:rPr>
                <w:sz w:val="18"/>
                <w:szCs w:val="18"/>
              </w:rPr>
              <w:t xml:space="preserve"> (OFI01196/26) de que existia licenciamento e um </w:t>
            </w:r>
            <w:r>
              <w:rPr>
                <w:sz w:val="18"/>
                <w:szCs w:val="18"/>
              </w:rPr>
              <w:t xml:space="preserve">«pedido de alteração do registo para nova designação comercial»</w:t>
            </w:r>
            <w:r>
              <w:rPr>
                <w:sz w:val="18"/>
                <w:szCs w:val="18"/>
              </w:rPr>
              <w:t xml:space="preserve"> em apreciação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Anexos 12, 16b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22/24-04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Ofício 69643/26 ao denunciante: cessação tramitada, registo inativo e fora da lista pública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Anexos 14–15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/>
          <w:bCs/>
        </w:rPr>
        <w:t xml:space="preserve">Comentário:</w:t>
      </w:r>
      <w:r>
        <w:t xml:space="preserve"> este é o período que ele quer reescrever. A leitura fria dos documentos mostra o contrário do que ele alega: a DGAV reagiu ao problema operador/titular </w:t>
      </w:r>
      <w:r>
        <w:rPr>
          <w:b/>
          <w:bCs/>
        </w:rPr>
        <w:t xml:space="preserve">na primeira oportunidade em que este lhe chegou</w:t>
      </w:r>
      <w:r>
        <w:t xml:space="preserve"> — indeferiu o pedido dela (protegendo o carácter pessoal do registo </w:t>
      </w:r>
      <w:r>
        <w:rPr>
          <w:b/>
          <w:bCs/>
        </w:rPr>
        <w:t xml:space="preserve">dele</w:t>
      </w:r>
      <w:r>
        <w:t xml:space="preserve">), tramitou a cessação no próprio dia, fiscalizou sem aviso quatro dias depois, impôs correções e encaminhou a regularização. Semanas, não anos. E a peça que ele apresenta como prova da fraude — o pedido de 13-03 — é precisamente a prova do funcionamento: foi indeferido.</w:t>
      </w:r>
    </w:p>
    <w:p>
      <w:pPr>
        <w:pStyle w:val="Heading3"/>
        <w:spacing w:after="120" w:before="240"/>
      </w:pPr>
      <w:r>
        <w:t xml:space="preserve">Fase 3 — maio–julho de 2026: a guerra de papel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3120"/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Facto</w:t>
            </w:r>
          </w:p>
        </w:tc>
        <w:tc>
          <w:tcPr>
            <w:tcW w:type="dxa" w:w="3120"/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Fonte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18-05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Reclamação à Diretora-Geral (</w:t>
            </w:r>
            <w:r>
              <w:rPr>
                <w:sz w:val="18"/>
                <w:szCs w:val="18"/>
              </w:rPr>
              <w:t xml:space="preserve">«Atividade Clandestina e Fraude Administrativa»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Anexo 1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21-05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MCP em nome próprio</w:t>
            </w:r>
            <w:r>
              <w:rPr>
                <w:sz w:val="18"/>
                <w:szCs w:val="18"/>
              </w:rPr>
              <w:t xml:space="preserve"> da Susana Walgode, com declaração do MV responsável — </w:t>
            </w:r>
            <w:r>
              <w:rPr>
                <w:sz w:val="18"/>
                <w:szCs w:val="18"/>
              </w:rPr>
              <w:t xml:space="preserve">«Canil D'Aurora Barks»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Informação 105506/26, alínea i)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28-05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Informação 85373/26 assinada (análise integral das alegações dele)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PDF assinado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29-05, 07-06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Novas comunicações dele (a de 07-06: </w:t>
            </w:r>
            <w:r>
              <w:rPr>
                <w:sz w:val="18"/>
                <w:szCs w:val="18"/>
              </w:rPr>
              <w:t xml:space="preserve">«Inação Administrativa»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PDFs próprios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01-07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Resposta da Diretora</w:t>
            </w:r>
            <w:r>
              <w:rPr>
                <w:sz w:val="18"/>
                <w:szCs w:val="18"/>
              </w:rPr>
              <w:t xml:space="preserve"> (9 pontos): taxatividade do art. 3.º-A; litígios privados → tribunais (art. 202.º CRP); pronúncia da DGAV seria nula (art. 161.º CPA); sem fundamento para 3.º-G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Anexo 17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01-07 (21:45)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Réplica</w:t>
            </w:r>
            <w:r>
              <w:rPr>
                <w:sz w:val="18"/>
                <w:szCs w:val="18"/>
              </w:rPr>
              <w:t xml:space="preserve"> dele (4h45 depois): 9 pontos + </w:t>
            </w:r>
            <w:r>
              <w:rPr>
                <w:b/>
                <w:bCs/>
                <w:sz w:val="18"/>
                <w:szCs w:val="18"/>
              </w:rPr>
              <w:t xml:space="preserve">pedido LADA</w:t>
            </w:r>
            <w:r>
              <w:rPr>
                <w:sz w:val="18"/>
                <w:szCs w:val="18"/>
              </w:rPr>
              <w:t xml:space="preserve"> dos autos; ameaças (IRA, </w:t>
            </w:r>
            <w:r>
              <w:rPr>
                <w:sz w:val="18"/>
                <w:szCs w:val="18"/>
              </w:rPr>
              <w:t xml:space="preserve">«denúncia pública»</w:t>
            </w:r>
            <w:r>
              <w:rPr>
                <w:sz w:val="18"/>
                <w:szCs w:val="18"/>
              </w:rPr>
              <w:t xml:space="preserve">, aditamento ao NUIPC)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transcrição em trabalho-sessao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02/03-07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Diretora consulta a DAJA; Dr. Edward (escrito): </w:t>
            </w:r>
            <w:r>
              <w:rPr>
                <w:sz w:val="18"/>
                <w:szCs w:val="18"/>
              </w:rPr>
              <w:t xml:space="preserve">«pode ser necessário exigir a cada um a demonstração do título de propriedade ou de outro direito sobre o local»</w:t>
            </w:r>
            <w:r>
              <w:rPr>
                <w:sz w:val="18"/>
                <w:szCs w:val="18"/>
              </w:rPr>
              <w:t xml:space="preserve">; complemento telefónico sem registo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.eml de 03-07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13-07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Chamada telefónica Diretora–denunciante (sem memo)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tréplica dele, 15-07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15-07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Ofício 105524/26-S ao denunciante; </w:t>
            </w:r>
            <w:r>
              <w:rPr>
                <w:b/>
                <w:bCs/>
                <w:sz w:val="18"/>
                <w:szCs w:val="18"/>
              </w:rPr>
              <w:t xml:space="preserve">tréplica</w:t>
            </w:r>
            <w:r>
              <w:rPr>
                <w:sz w:val="18"/>
                <w:szCs w:val="18"/>
              </w:rPr>
              <w:t xml:space="preserve"> dele no mesmo dia (ampliação do pedido LADA; </w:t>
            </w:r>
            <w:r>
              <w:rPr>
                <w:sz w:val="18"/>
                <w:szCs w:val="18"/>
              </w:rPr>
              <w:t xml:space="preserve">«prazo improrrogável de 10 dias úteis»</w:t>
            </w:r>
            <w:r>
              <w:rPr>
                <w:sz w:val="18"/>
                <w:szCs w:val="18"/>
              </w:rPr>
              <w:t xml:space="preserve">; ameaças de apreensão judicial). No mesmo dia: </w:t>
            </w:r>
            <w:r>
              <w:rPr>
                <w:b/>
                <w:bCs/>
                <w:sz w:val="18"/>
                <w:szCs w:val="18"/>
              </w:rPr>
              <w:t xml:space="preserve">taxa solicitada e paga (92,00 €), averbamento e emissão do B642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transcrição; Informação 105506/26, alíneas n)–p)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17-07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Informações da MCP e LADA finalizadas; expediente LADA remetido à DAJA com declaração de incompetência dos serviços regionais; </w:t>
            </w:r>
            <w:r>
              <w:rPr>
                <w:b/>
                <w:bCs/>
                <w:sz w:val="18"/>
                <w:szCs w:val="18"/>
              </w:rPr>
              <w:t xml:space="preserve">ofício 106881/26-E à interessada datado de 17-07</w:t>
            </w:r>
            <w:r>
              <w:rPr>
                <w:sz w:val="18"/>
                <w:szCs w:val="18"/>
              </w:rPr>
              <w:t xml:space="preserve"> (B642)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PDFs; checkpoint 17-07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18-07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Orientação escrita da DAJA: comunicação parcial com expurgo (art. 6.º/8 da Lei 26/2016); confirmar coincidência geográfica; </w:t>
            </w:r>
            <w:r>
              <w:rPr>
                <w:sz w:val="18"/>
                <w:szCs w:val="18"/>
              </w:rPr>
              <w:t xml:space="preserve">«se não coincidirem»</w:t>
            </w:r>
            <w:r>
              <w:rPr>
                <w:sz w:val="18"/>
                <w:szCs w:val="18"/>
              </w:rPr>
              <w:t xml:space="preserve">, exigir prova de direito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RESPOSTA_DAJA (transcrição)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21-07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Vistoria de seguimento por outros técnicos</w:t>
            </w:r>
            <w:r>
              <w:rPr>
                <w:sz w:val="18"/>
                <w:szCs w:val="18"/>
              </w:rPr>
              <w:t xml:space="preserve"> (Filipe Duarte + colega): conformidades verificadas; maternidades desativadas (sem ninhadas atuais nem previstas); pendência única — registos de movimento mensal a remeter por email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PDF da vistoria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23-07 (23:34 e 23:47)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Despachos da Diretora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 xml:space="preserve">«Concordo, de acordo com os pressupostos elencados»</w:t>
            </w:r>
            <w:r>
              <w:rPr>
                <w:sz w:val="18"/>
                <w:szCs w:val="18"/>
              </w:rPr>
              <w:t xml:space="preserve"> nas Informações 105506/26 (MCP — ratificação da tramitação, incluindo os atos de 15-07) e 109085/26 (LADA — expurgo, exclusões, sequenciamento)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PDFs despachados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23-07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Ofício 109157/26-S expedido</w:t>
            </w:r>
            <w:r>
              <w:rPr>
                <w:sz w:val="18"/>
                <w:szCs w:val="18"/>
              </w:rPr>
              <w:t xml:space="preserve"> ao denunciante: deferimento parcial LADA com rasuras, fundamentos, garantias (CADA, 20 dias) e comunicação do B642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24-07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Resposta dele à Diretora-Geral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 xml:space="preserve">«extemporaneidade»</w:t>
            </w:r>
            <w:r>
              <w:rPr>
                <w:sz w:val="18"/>
                <w:szCs w:val="18"/>
              </w:rPr>
              <w:t xml:space="preserve">, rasuras como </w:t>
            </w:r>
            <w:r>
              <w:rPr>
                <w:sz w:val="18"/>
                <w:szCs w:val="18"/>
              </w:rPr>
              <w:t xml:space="preserve">«ocultação»</w:t>
            </w:r>
            <w:r>
              <w:rPr>
                <w:sz w:val="18"/>
                <w:szCs w:val="18"/>
              </w:rPr>
              <w:t xml:space="preserve">, 242.º CPP, exige título do B642, junta cadernetas AT (emitidas 14-07), anuncia aditamento à CADA e apreensão judicial dos originais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transcrição e análise em trabalho-sessao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/>
          <w:bCs/>
        </w:rPr>
        <w:t xml:space="preserve">Comentário:</w:t>
      </w:r>
      <w:r>
        <w:t xml:space="preserve"> a semana de 15 a 23-07 é simultaneamente o ponto mais produtivo e o mais delicado do processo — os atos materiais (taxa, averbamento, registo) precederam em oito dias os despachos que os ratificaram (ver F1). A sequência de notificações, em contrapartida, saiu certa: interessada notificada por ofício datado de 17-07; terceiro informado a 23-07, e apenas </w:t>
      </w:r>
      <w:r>
        <w:rPr>
          <w:b/>
          <w:bCs/>
        </w:rPr>
        <w:t xml:space="preserve">depois</w:t>
      </w:r>
      <w:r>
        <w:t xml:space="preserve"> de despachada a informação que propunha exatamente essa ordem (</w:t>
      </w:r>
      <w:r>
        <w:t xml:space="preserve">«a remeter ao Sr. Rui apenas após emissão do ofício final de atribuição de n.º à senhora Susana Walgode»</w:t>
      </w:r>
      <w:r>
        <w:t xml:space="preserve"> — Informação 109085/26, Conclusão).</w:t>
      </w:r>
    </w:p>
    <w:p>
      <w:pPr>
        <w:pBdr>
          <w:bottom w:val="single" w:color="999999" w:sz="6"/>
        </w:pBdr>
        <w:spacing w:after="160"/>
      </w:pPr>
    </w:p>
    <w:p>
      <w:pPr>
        <w:pStyle w:val="Heading2"/>
        <w:spacing w:after="120" w:before="240"/>
      </w:pPr>
      <w:r>
        <w:t xml:space="preserve">3. O direito aplicável, explicado</w:t>
      </w:r>
    </w:p>
    <w:p>
      <w:pPr>
        <w:spacing w:after="120"/>
        <w:jc w:val="both"/>
      </w:pPr>
      <w:r>
        <w:t xml:space="preserve">Esta secção existe para que cada posição do processo possa ser defendida </w:t>
      </w:r>
      <w:r>
        <w:rPr>
          <w:b/>
          <w:bCs/>
        </w:rPr>
        <w:t xml:space="preserve">com o raciocínio, não só com a norma</w:t>
      </w:r>
      <w:r>
        <w:t xml:space="preserve">.</w:t>
      </w:r>
    </w:p>
    <w:p>
      <w:pPr>
        <w:pStyle w:val="Heading3"/>
        <w:spacing w:after="120" w:before="240"/>
      </w:pPr>
      <w:r>
        <w:t xml:space="preserve">3.1 A MCP é um procedimento vinculado — e isso decide quase tudo</w:t>
      </w:r>
    </w:p>
    <w:p>
      <w:pPr>
        <w:spacing w:after="120"/>
        <w:jc w:val="both"/>
      </w:pPr>
      <w:r>
        <w:t xml:space="preserve">O art. 3.º-A do DL 276/2001 fixa um </w:t>
      </w:r>
      <w:r>
        <w:rPr>
          <w:b/>
          <w:bCs/>
        </w:rPr>
        <w:t xml:space="preserve">elenco taxativo</w:t>
      </w:r>
      <w:r>
        <w:t xml:space="preserve"> de elementos da mera comunicação prévia. Taxativo significa: a Administração não pode acrescentar exigências que a norma não prevê (princípio da legalidade, art. 3.º CPA). Não consta do elenco nenhum elemento dominial — certidão predial, escritura, autorização do proprietário. Daí decorrem em cadeia: (i) a DGAV </w:t>
      </w:r>
      <w:r>
        <w:rPr>
          <w:b/>
          <w:bCs/>
        </w:rPr>
        <w:t xml:space="preserve">não podia</w:t>
      </w:r>
      <w:r>
        <w:t xml:space="preserve"> exigir título de propriedade à requerente como condição do registo; (ii) a DGAV </w:t>
      </w:r>
      <w:r>
        <w:rPr>
          <w:b/>
          <w:bCs/>
        </w:rPr>
        <w:t xml:space="preserve">não podia</w:t>
      </w:r>
      <w:r>
        <w:t xml:space="preserve"> recusar ou suster o registo por existir litígio entre comproprietários — não há margem discricionária num procedimento vinculado; (iii) qualquer pronúncia da DGAV sobre a titularidade seria </w:t>
      </w:r>
      <w:r>
        <w:rPr>
          <w:b/>
          <w:bCs/>
        </w:rPr>
        <w:t xml:space="preserve">nula</w:t>
      </w:r>
      <w:r>
        <w:t xml:space="preserve"> por usurpação da competência dos tribunais (arts. 161.º CPA e 202.º CRP). Este raciocínio está escrito e assinado desde 01-07 e é a trave-mestra de toda a posição institucional. A exigência de </w:t>
      </w:r>
      <w:r>
        <w:t xml:space="preserve">«prova do título jurídico que fundamentou o B642»</w:t>
      </w:r>
      <w:r>
        <w:t xml:space="preserve"> (carta de 24-07) responde-se inteiramente com ele.</w:t>
      </w:r>
    </w:p>
    <w:p>
      <w:pPr>
        <w:pStyle w:val="Heading3"/>
        <w:spacing w:after="120" w:before="240"/>
      </w:pPr>
      <w:r>
        <w:t xml:space="preserve">3.2 O registo é pessoal e intransmissível — e protege o próprio denunciante</w:t>
      </w:r>
    </w:p>
    <w:p>
      <w:pPr>
        <w:spacing w:after="120"/>
        <w:jc w:val="both"/>
      </w:pPr>
      <w:r>
        <w:t xml:space="preserve">O art. 3.º/11 do DL 276/2001 torna o número de registo pessoal e intransmissível. Foi </w:t>
      </w:r>
      <w:r>
        <w:rPr>
          <w:b/>
          <w:bCs/>
        </w:rPr>
        <w:t xml:space="preserve">por isso</w:t>
      </w:r>
      <w:r>
        <w:t xml:space="preserve"> que o pedido de alteração apresentado pela Susana Walgode em 13-03 foi indeferido: não estava subscrito pelo titular. O indeferimento é a prova documental de que ninguém </w:t>
      </w:r>
      <w:r>
        <w:t xml:space="preserve">«usurpou»</w:t>
      </w:r>
      <w:r>
        <w:t xml:space="preserve"> o registo dele — o sistema recusou precisamente a alteração que ele diz ter sido fraudulenta. E é também a razão de a MCP dela ser um </w:t>
      </w:r>
      <w:r>
        <w:rPr>
          <w:b/>
          <w:bCs/>
        </w:rPr>
        <w:t xml:space="preserve">título novo</w:t>
      </w:r>
      <w:r>
        <w:t xml:space="preserve"> (B642), não uma transferência do antigo: a narrativa </w:t>
      </w:r>
      <w:r>
        <w:t xml:space="preserve">«indeferiram-me a transferência e depois deram-lhe o registo»</w:t>
      </w:r>
      <w:r>
        <w:t xml:space="preserve"> inverte a realidade — indeferiram </w:t>
      </w:r>
      <w:r>
        <w:rPr>
          <w:b/>
          <w:bCs/>
        </w:rPr>
        <w:t xml:space="preserve">a ela</w:t>
      </w:r>
      <w:r>
        <w:t xml:space="preserve"> a alteração para proteger </w:t>
      </w:r>
      <w:r>
        <w:rPr>
          <w:b/>
          <w:bCs/>
        </w:rPr>
        <w:t xml:space="preserve">o registo dele</w:t>
      </w:r>
      <w:r>
        <w:t xml:space="preserve">, e ela teve de constituir título próprio, pagando taxa própria, com responsabilidade própria.</w:t>
      </w:r>
    </w:p>
    <w:p>
      <w:pPr>
        <w:pStyle w:val="Heading3"/>
        <w:spacing w:after="120" w:before="240"/>
      </w:pPr>
      <w:r>
        <w:t xml:space="preserve">3.3 A cessação não retroage — e a alegação de retroatividade confessa uma contraordenação dele</w:t>
      </w:r>
    </w:p>
    <w:p>
      <w:pPr>
        <w:spacing w:after="120"/>
        <w:jc w:val="both"/>
      </w:pPr>
      <w:r>
        <w:t xml:space="preserve">A comunicação de cessação produz efeitos com a receção (09-04-2026). Ao alegar que cessou em dezembro de 2022 e só comunicou em 2026, o denunciante confessa o incumprimento do prazo de 15 dias do art. 3.º-F/1 — e, pior para ele, a transferência da posse dos animais para a ex-cônjuge em 2022 configuraria </w:t>
      </w:r>
      <w:r>
        <w:rPr>
          <w:b/>
          <w:bCs/>
        </w:rPr>
        <w:t xml:space="preserve">cessão de exploração</w:t>
      </w:r>
      <w:r>
        <w:t xml:space="preserve">, igualmente sujeita a comunicação que ele nunca fez. A Informação 105506/26 reservou expressamente </w:t>
      </w:r>
      <w:r>
        <w:t xml:space="preserve">«a eventual relevância contraordenacional dos factos descritos, respeitante a **qualquer das partes**»</w:t>
      </w:r>
      <w:r>
        <w:t xml:space="preserve"> para sede própria — a simetria dessa reserva é juridicamente correta e estrategicamente valiosa (não há favorecimento documentável de ninguém).</w:t>
      </w:r>
    </w:p>
    <w:p>
      <w:pPr>
        <w:pStyle w:val="Heading3"/>
        <w:spacing w:after="120" w:before="240"/>
      </w:pPr>
      <w:r>
        <w:t xml:space="preserve">3.4 LADA — a mecânica que enquadra a frente principal atual</w:t>
      </w:r>
    </w:p>
    <w:p>
      <w:pPr>
        <w:spacing w:after="120"/>
        <w:jc w:val="both"/>
      </w:pPr>
      <w:r>
        <w:t xml:space="preserve">Documentos nominativos (art. 3.º/1/b da Lei 26/2016) comunicam-se a terceiros nos termos do art. 6.º/5 (autorização do titular ou interesse direto, pessoal, legítimo e constitucionalmente protegido); a comunicação parcial com expurgo dos dados reservados está prevista no art. 6.º/8. A via escolhida (deferimento parcial com rasura uniforme) tem duas virtudes: dispensa a adjudicação do </w:t>
      </w:r>
      <w:r>
        <w:t xml:space="preserve">«interesse direto»</w:t>
      </w:r>
      <w:r>
        <w:t xml:space="preserve"> dele (questão espinhosa que não foi preciso decidir) e mata a narrativa da ocultação (comunicou-se o comunicável). O prazo de decisão é de 10 dias (art. 15.º); a queixa à CADA cabe em 20 dias (art. 16.º), a CADA notifica a entidade para pronúncia, elabora relatório em 40 dias, e a entidade decide em 10 dias finais — </w:t>
      </w:r>
      <w:r>
        <w:rPr>
          <w:b/>
          <w:bCs/>
        </w:rPr>
        <w:t xml:space="preserve">o parecer da CADA não é vinculativo</w:t>
      </w:r>
      <w:r>
        <w:t xml:space="preserve">. Fragilidade real nesta mecânica: a resposta de 15-07 ao pedido de 01-07 foi interina (</w:t>
      </w:r>
      <w:r>
        <w:t xml:space="preserve">«em apreciação»</w:t>
      </w:r>
      <w:r>
        <w:t xml:space="preserve">), não decisão — ver F4.</w:t>
      </w:r>
    </w:p>
    <w:p>
      <w:pPr>
        <w:pStyle w:val="Heading3"/>
        <w:spacing w:after="120" w:before="240"/>
      </w:pPr>
      <w:r>
        <w:t xml:space="preserve">3.5 O plano civil — onde o conflito realmente vive</w:t>
      </w:r>
    </w:p>
    <w:p>
      <w:pPr>
        <w:spacing w:after="120"/>
        <w:jc w:val="both"/>
      </w:pPr>
      <w:r>
        <w:t xml:space="preserve">A escritura de 23-06-2005 e o registo predial (AP. 1 de 06-05-2005, convertida definitiva) documentam a compra do prédio </w:t>
      </w:r>
      <w:r>
        <w:rPr>
          <w:b/>
          <w:bCs/>
        </w:rPr>
        <w:t xml:space="preserve">por ambos os cônjuges, casados em comunhão de adquiridos</w:t>
      </w:r>
      <w:r>
        <w:t xml:space="preserve">. No regime da comunhão de adquiridos, os bens adquiridos a título oneroso na constância presumem-se comuns (art. 1724.º/b CC). A presunção de titularidade emergente do registo (art. 7.º CRegPredial) favorece </w:t>
      </w:r>
      <w:r>
        <w:rPr>
          <w:b/>
          <w:bCs/>
        </w:rPr>
        <w:t xml:space="preserve">os dois</w:t>
      </w:r>
      <w:r>
        <w:t xml:space="preserve">. O uso da coisa comum rege-se pelo art. 1406.º CC: na falta de acordo, qualquer comproprietário pode servir-se dela, contanto que não a empregue para fim diferente e não prive os demais do uso. Conclusão dupla: (i) a Susana Walgode não precisava de </w:t>
      </w:r>
      <w:r>
        <w:t xml:space="preserve">«autorização do proprietário»</w:t>
      </w:r>
      <w:r>
        <w:t xml:space="preserve"> para nada — é comproprietária presumida por registo; (ii) o que o denunciante realmente tem é um litígio de uso da coisa comum, cuja sede é o tribunal cível — exatamente o que a DGAV escreveu desde o primeiro dia.</w:t>
      </w:r>
    </w:p>
    <w:p>
      <w:pPr>
        <w:pStyle w:val="Heading3"/>
        <w:spacing w:after="120" w:before="240"/>
      </w:pPr>
      <w:r>
        <w:t xml:space="preserve">3.6 O plano penal — o que ele agita e o que existe</w:t>
      </w:r>
    </w:p>
    <w:p>
      <w:pPr>
        <w:spacing w:after="120"/>
        <w:jc w:val="both"/>
      </w:pPr>
      <w:r>
        <w:t xml:space="preserve">Os tipos que ele invoca não encaixam nos factos documentados: o art. 256.º CP (falsificação) exige fabrico/abuso de assinatura alheia ou declaração falsa juridicamente relevante com intenção de engano — o pedido de 13-03 foi apresentado em nome próprio, com assinatura própria, e </w:t>
      </w:r>
      <w:r>
        <w:rPr>
          <w:b/>
          <w:bCs/>
        </w:rPr>
        <w:t xml:space="preserve">indeferido</w:t>
      </w:r>
      <w:r>
        <w:t xml:space="preserve">; o art. 242.º CPP (denúncia obrigatória) pressupõe notícia de crime no exercício de funções — não há; o art. 348.º-A CP (usurpação de funções) não tem qualquer aderência. Em sentido inverso, as cartas dele acumulam material para tipos que </w:t>
      </w:r>
      <w:r>
        <w:rPr>
          <w:b/>
          <w:bCs/>
        </w:rPr>
        <w:t xml:space="preserve">o visam a ele</w:t>
      </w:r>
      <w:r>
        <w:t xml:space="preserve"> — difamação agravada (arts. 180.º + 184.º CP), ofensa a organismo (art. 187.º CP) e, no limite, denúncia caluniosa (art. 365.º CP) — mas com o travão analisado na secção 9: enquanto usa canais de queixa e pode alegar convicção subjetiva, o direito de denúncia protege-o.</w:t>
      </w:r>
    </w:p>
    <w:p>
      <w:pPr>
        <w:pBdr>
          <w:bottom w:val="single" w:color="999999" w:sz="6"/>
        </w:pBdr>
        <w:spacing w:after="160"/>
      </w:pPr>
    </w:p>
    <w:p>
      <w:pPr>
        <w:pStyle w:val="Heading2"/>
        <w:spacing w:after="120" w:before="240"/>
      </w:pPr>
      <w:r>
        <w:t xml:space="preserve">4. A questão da propriedade — confronto documental completo</w:t>
      </w:r>
    </w:p>
    <w:p>
      <w:pPr>
        <w:spacing w:after="120"/>
        <w:jc w:val="both"/>
      </w:pPr>
      <w:r>
        <w:t xml:space="preserve">O confronto fecha com quatro documentos, dois de cada parte, que encaixam sem resíduo: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Elo</w:t>
            </w:r>
          </w:p>
        </w:tc>
        <w:tc>
          <w:tcPr>
            <w:tcW w:type="dxa" w:w="3120"/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Documento (origem)</w:t>
            </w:r>
          </w:p>
        </w:tc>
        <w:tc>
          <w:tcPr>
            <w:tcW w:type="dxa" w:w="3120"/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 que fixa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Escritura de 23-06-2005</w:t>
            </w:r>
            <w:r>
              <w:rPr>
                <w:sz w:val="18"/>
                <w:szCs w:val="18"/>
              </w:rPr>
              <w:t xml:space="preserve"> (junta pela requerente)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Venda do </w:t>
            </w:r>
            <w:r>
              <w:rPr>
                <w:sz w:val="18"/>
                <w:szCs w:val="18"/>
              </w:rPr>
              <w:t xml:space="preserve">«prédio misto sito no Monte da Castanheira em Monte Leal»</w:t>
            </w:r>
            <w:r>
              <w:rPr>
                <w:sz w:val="18"/>
                <w:szCs w:val="18"/>
              </w:rPr>
              <w:t xml:space="preserve">, Vale de Prazeres, Fundão — parte urbana matriz </w:t>
            </w:r>
            <w:r>
              <w:rPr>
                <w:b/>
                <w:bCs/>
                <w:sz w:val="18"/>
                <w:szCs w:val="18"/>
              </w:rPr>
              <w:t xml:space="preserve">1336</w:t>
            </w:r>
            <w:r>
              <w:rPr>
                <w:sz w:val="18"/>
                <w:szCs w:val="18"/>
              </w:rPr>
              <w:t xml:space="preserve">, parte rústica matriz </w:t>
            </w:r>
            <w:r>
              <w:rPr>
                <w:b/>
                <w:bCs/>
                <w:sz w:val="18"/>
                <w:szCs w:val="18"/>
              </w:rPr>
              <w:t xml:space="preserve">1292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descrição CRP Fundão n.º 685</w:t>
            </w:r>
            <w:r>
              <w:rPr>
                <w:sz w:val="18"/>
                <w:szCs w:val="18"/>
              </w:rPr>
              <w:t xml:space="preserve"> — por €61.000, a </w:t>
            </w:r>
            <w:r>
              <w:rPr>
                <w:sz w:val="18"/>
                <w:szCs w:val="18"/>
              </w:rPr>
              <w:t xml:space="preserve">«Rui Manuel Martins da Mónica **e mulher** Susana Maria Borges Walgode da Mónica, casados sob o regime da comunhão de adquiridos»</w:t>
            </w:r>
            <w:r>
              <w:rPr>
                <w:sz w:val="18"/>
                <w:szCs w:val="18"/>
              </w:rPr>
              <w:t xml:space="preserve">, com mútuo Banif e hipoteca; parte urbana destinada a residência própria permanente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Informação predial da descrição 685/19980413</w:t>
            </w:r>
            <w:r>
              <w:rPr>
                <w:sz w:val="18"/>
                <w:szCs w:val="18"/>
              </w:rPr>
              <w:t xml:space="preserve"> (junta pela requerente; emitida 11-11-2024)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Prédio misto </w:t>
            </w:r>
            <w:r>
              <w:rPr>
                <w:sz w:val="18"/>
                <w:szCs w:val="18"/>
              </w:rPr>
              <w:t xml:space="preserve">«situado em Monte da Castanheira em Monte Leal»</w:t>
            </w:r>
            <w:r>
              <w:rPr>
                <w:sz w:val="18"/>
                <w:szCs w:val="18"/>
              </w:rPr>
              <w:t xml:space="preserve">, 130.000 m²; matrizes atuais </w:t>
            </w:r>
            <w:r>
              <w:rPr>
                <w:b/>
                <w:bCs/>
                <w:sz w:val="18"/>
                <w:szCs w:val="18"/>
              </w:rPr>
              <w:t xml:space="preserve">1707 (rústica) + 1191 (urbana)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b/>
                <w:bCs/>
                <w:sz w:val="18"/>
                <w:szCs w:val="18"/>
              </w:rPr>
              <w:t xml:space="preserve">AP. 1 de 06-05-2005 — aquisição por compra a favor de ambos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«cas. em com. de adquiridos»</w:t>
            </w:r>
            <w:r>
              <w:rPr>
                <w:sz w:val="18"/>
                <w:szCs w:val="18"/>
              </w:rPr>
              <w:t xml:space="preserve">, convertida definitiva (AP. 26, 19-10-2005); hipotecas Banif; penhora da Segurança Social de 2012 (cancelada em 2017) e hipoteca legal de 2016 por dívidas da </w:t>
            </w:r>
            <w:r>
              <w:rPr>
                <w:sz w:val="18"/>
                <w:szCs w:val="18"/>
              </w:rPr>
              <w:t xml:space="preserve">«Sociedade Agrícola Mónica e Walgode, Lda»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Cadernetas AT do denunciante</w:t>
            </w:r>
            <w:r>
              <w:rPr>
                <w:sz w:val="18"/>
                <w:szCs w:val="18"/>
              </w:rPr>
              <w:t xml:space="preserve"> (juntas por ele, emitidas 14-07-2026)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Rústica </w:t>
            </w:r>
            <w:r>
              <w:rPr>
                <w:b/>
                <w:bCs/>
                <w:sz w:val="18"/>
                <w:szCs w:val="18"/>
              </w:rPr>
              <w:t xml:space="preserve">1707</w:t>
            </w:r>
            <w:r>
              <w:rPr>
                <w:sz w:val="18"/>
                <w:szCs w:val="18"/>
              </w:rPr>
              <w:t xml:space="preserve"> (origem no art. </w:t>
            </w:r>
            <w:r>
              <w:rPr>
                <w:b/>
                <w:bCs/>
                <w:sz w:val="18"/>
                <w:szCs w:val="18"/>
              </w:rPr>
              <w:t xml:space="preserve">1292</w:t>
            </w:r>
            <w:r>
              <w:rPr>
                <w:sz w:val="18"/>
                <w:szCs w:val="18"/>
              </w:rPr>
              <w:t xml:space="preserve"> — o da escritura), </w:t>
            </w:r>
            <w:r>
              <w:rPr>
                <w:sz w:val="18"/>
                <w:szCs w:val="18"/>
              </w:rPr>
              <w:t xml:space="preserve">«Qtª do Monte do Pinto»</w:t>
            </w:r>
            <w:r>
              <w:rPr>
                <w:sz w:val="18"/>
                <w:szCs w:val="18"/>
              </w:rPr>
              <w:t xml:space="preserve">, 13 ha, confrontações coincidentes com a descrição 685; urbana </w:t>
            </w:r>
            <w:r>
              <w:rPr>
                <w:b/>
                <w:bCs/>
                <w:sz w:val="18"/>
                <w:szCs w:val="18"/>
              </w:rPr>
              <w:t xml:space="preserve">1191</w:t>
            </w:r>
            <w:r>
              <w:rPr>
                <w:sz w:val="18"/>
                <w:szCs w:val="18"/>
              </w:rPr>
              <w:t xml:space="preserve"> (origem no art. </w:t>
            </w:r>
            <w:r>
              <w:rPr>
                <w:b/>
                <w:bCs/>
                <w:sz w:val="18"/>
                <w:szCs w:val="18"/>
              </w:rPr>
              <w:t xml:space="preserve">1336</w:t>
            </w:r>
            <w:r>
              <w:rPr>
                <w:sz w:val="18"/>
                <w:szCs w:val="18"/>
              </w:rPr>
              <w:t xml:space="preserve"> — o da escritura), rua </w:t>
            </w:r>
            <w:r>
              <w:rPr>
                <w:sz w:val="18"/>
                <w:szCs w:val="18"/>
              </w:rPr>
              <w:t xml:space="preserve">«Monte da Castanheira»</w:t>
            </w:r>
            <w:r>
              <w:rPr>
                <w:sz w:val="18"/>
                <w:szCs w:val="18"/>
              </w:rPr>
              <w:t xml:space="preserve">, Monte Leal, CP 6230-783, </w:t>
            </w:r>
            <w:r>
              <w:rPr>
                <w:sz w:val="18"/>
                <w:szCs w:val="18"/>
              </w:rPr>
              <w:t xml:space="preserve">«Descrito na C.R.P. de Fundão sob o registo n.º 0685»</w:t>
            </w:r>
            <w:r>
              <w:rPr>
                <w:sz w:val="18"/>
                <w:szCs w:val="18"/>
              </w:rPr>
              <w:t xml:space="preserve">, coordenadas X 263.112 / Y 348.858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RS 24/26 da GNR</w:t>
            </w:r>
            <w:r>
              <w:rPr>
                <w:sz w:val="18"/>
                <w:szCs w:val="18"/>
              </w:rPr>
              <w:t xml:space="preserve"> (12-03-2026)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Canil na </w:t>
            </w:r>
            <w:r>
              <w:rPr>
                <w:sz w:val="18"/>
                <w:szCs w:val="18"/>
              </w:rPr>
              <w:t xml:space="preserve">«Estrada Municipal 1075 — Monte Leal»</w:t>
            </w:r>
            <w:r>
              <w:rPr>
                <w:sz w:val="18"/>
                <w:szCs w:val="18"/>
              </w:rPr>
              <w:t xml:space="preserve">, 6230-783 Vale de Prazeres, tipo </w:t>
            </w:r>
            <w:r>
              <w:rPr>
                <w:sz w:val="18"/>
                <w:szCs w:val="18"/>
              </w:rPr>
              <w:t xml:space="preserve">«Monte/quinta»</w:t>
            </w:r>
            <w:r>
              <w:rPr>
                <w:sz w:val="18"/>
                <w:szCs w:val="18"/>
              </w:rPr>
              <w:t xml:space="preserve">, georreferenciado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/>
          <w:bCs/>
        </w:rPr>
        <w:t xml:space="preserve">Conclusões, com o raciocínio explícito: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É o mesmo prédio.</w:t>
      </w:r>
      <w:r>
        <w:t xml:space="preserve"> A cadeia matricial é contínua (1336→1191; 1292→1707), a descrição predial é a mesma (685) e — detalhe decisivo — é a </w:t>
      </w:r>
      <w:r>
        <w:rPr>
          <w:b/>
          <w:bCs/>
        </w:rPr>
        <w:t xml:space="preserve">caderneta do próprio denunciante</w:t>
      </w:r>
      <w:r>
        <w:t xml:space="preserve"> que cita a descrição 0685, a mesma da certidão junta pela requerente. A condição da DAJA (</w:t>
      </w:r>
      <w:r>
        <w:t xml:space="preserve">«caso as moradas não sejam coincidentes, exigir prova de direito»</w:t>
      </w:r>
      <w:r>
        <w:t xml:space="preserve">) nunca se ativa, porque a coincidência resulta de documentos juntos </w:t>
      </w:r>
      <w:r>
        <w:rPr>
          <w:b/>
          <w:bCs/>
        </w:rPr>
        <w:t xml:space="preserve">pelas duas partes</w:t>
      </w:r>
      <w:r>
        <w:t xml:space="preserve">. Resta como formalidade o cruzamento SIG das coordenadas AT com a georreferenciação da GNR;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A tese «propriedade plena 1/1» morre nos documentos dele.</w:t>
      </w:r>
      <w:r>
        <w:t xml:space="preserve"> A inscrição matricial tem finalidade fiscal e assenta em declaração do próprio contribuinte; não é título nem gera presunção de propriedade — a presunção pertence ao </w:t>
      </w:r>
      <w:r>
        <w:rPr>
          <w:b/>
          <w:bCs/>
        </w:rPr>
        <w:t xml:space="preserve">registo predial</w:t>
      </w:r>
      <w:r>
        <w:t xml:space="preserve"> (art. 7.º CRegPredial), e o registo diz: aquisição por compra, </w:t>
      </w:r>
      <w:r>
        <w:rPr>
          <w:b/>
          <w:bCs/>
        </w:rPr>
        <w:t xml:space="preserve">por ambos</w:t>
      </w:r>
      <w:r>
        <w:t xml:space="preserve">. Jurisprudência constante do STJ (secção 10.2): </w:t>
      </w:r>
      <w:r>
        <w:t xml:space="preserve">«a matriz e o registo não dão nem tiram direitos»</w:t>
      </w:r>
      <w:r>
        <w:t xml:space="preserve"> — a matriz cadastra para efeitos de IMI, o registo presume titularidade;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A compropriedade está agora tri-documentada</w:t>
      </w:r>
      <w:r>
        <w:t xml:space="preserve"> — escritura (compra por ambos), registo predial (AP. 1/2005 a favor de ambos) e declarações convergentes das próprias partes (dela à GNR: </w:t>
      </w:r>
      <w:r>
        <w:t xml:space="preserve">«pertence à mesma e ao seu ex-marido, em partes iguais»</w:t>
      </w:r>
      <w:r>
        <w:t xml:space="preserve">; dele na carta de 24-07: </w:t>
      </w:r>
      <w:r>
        <w:t xml:space="preserve">«bem em litígio/compropriedade, como sobejamente sabem»</w:t>
      </w:r>
      <w:r>
        <w:t xml:space="preserve">, com invocação do art. 1405.º CC);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Nada disto exige que a DGAV decida o que quer que seja.</w:t>
      </w:r>
      <w:r>
        <w:t xml:space="preserve"> A DGAV limita-se a constatar registos públicos para efeitos de instrução das exposições — não adjudica direitos (fá-lo-ia nula e incompetentemente). A distinção entre </w:t>
      </w:r>
      <w:r>
        <w:rPr>
          <w:i/>
          <w:iCs/>
        </w:rPr>
        <w:t xml:space="preserve">constatar um registo</w:t>
      </w:r>
      <w:r>
        <w:t xml:space="preserve"> e </w:t>
      </w:r>
      <w:r>
        <w:rPr>
          <w:i/>
          <w:iCs/>
        </w:rPr>
        <w:t xml:space="preserve">apreciar um direito</w:t>
      </w:r>
      <w:r>
        <w:t xml:space="preserve"> deve ser mantida em todas as peças futuras;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5. </w:t>
      </w:r>
      <w:r>
        <w:rPr>
          <w:b/>
          <w:bCs/>
        </w:rPr>
        <w:t xml:space="preserve">Nota lateral (não usar em peças):</w:t>
      </w:r>
      <w:r>
        <w:t xml:space="preserve"> a informação predial revela que o casal teve execuções da Segurança Social (penhora de 2012; hipoteca legal de 2016) por dívidas da antiga sociedade comum </w:t>
      </w:r>
      <w:r>
        <w:t xml:space="preserve">«Mónica e Walgode, Lda»</w:t>
      </w:r>
      <w:r>
        <w:t xml:space="preserve">. Irrelevante para a DGAV; útil apenas para calibrar o retrato que ele faz de si próprio como profissional de </w:t>
      </w:r>
      <w:r>
        <w:t xml:space="preserve">«estrito rigor»</w:t>
      </w:r>
      <w:r>
        <w:t xml:space="preserve"> em </w:t>
      </w:r>
      <w:r>
        <w:t xml:space="preserve">«total cooperação com todas as instituições do Estado»</w:t>
      </w:r>
      <w:r>
        <w:t xml:space="preserve">.</w:t>
      </w:r>
    </w:p>
    <w:p>
      <w:pPr>
        <w:pBdr>
          <w:bottom w:val="single" w:color="999999" w:sz="6"/>
        </w:pBdr>
        <w:spacing w:after="160"/>
      </w:pPr>
    </w:p>
    <w:p>
      <w:pPr>
        <w:pStyle w:val="Heading2"/>
        <w:spacing w:after="120" w:before="240"/>
      </w:pPr>
      <w:r>
        <w:t xml:space="preserve">5. Fragilidades da atuação da DGAV — graduadas, da mais grave à menos grave</w:t>
      </w:r>
    </w:p>
    <w:p>
      <w:pPr>
        <w:pStyle w:val="Heading3"/>
        <w:spacing w:after="120" w:before="240"/>
      </w:pPr>
      <w:r>
        <w:t xml:space="preserve">F1 — Atos executados antes do despacho que os cobriu (janela de 15 a 23-07) — </w:t>
      </w:r>
      <w:r>
        <w:rPr>
          <w:b/>
          <w:bCs/>
        </w:rPr>
        <w:t xml:space="preserve">ALTA, sanada por ratificação</w:t>
      </w:r>
    </w:p>
    <w:p>
      <w:pPr>
        <w:spacing w:after="120"/>
        <w:jc w:val="both"/>
      </w:pPr>
      <w:r>
        <w:rPr>
          <w:b/>
          <w:bCs/>
        </w:rPr>
        <w:t xml:space="preserve">Factos:</w:t>
      </w:r>
      <w:r>
        <w:t xml:space="preserve"> a taxa foi solicitada e paga, o averbamento feito e o B642 emitido a </w:t>
      </w:r>
      <w:r>
        <w:rPr>
          <w:b/>
          <w:bCs/>
        </w:rPr>
        <w:t xml:space="preserve">15-07</w:t>
      </w:r>
      <w:r>
        <w:t xml:space="preserve">; o ofício à interessada está datado de </w:t>
      </w:r>
      <w:r>
        <w:rPr>
          <w:b/>
          <w:bCs/>
        </w:rPr>
        <w:t xml:space="preserve">17-07</w:t>
      </w:r>
      <w:r>
        <w:t xml:space="preserve">; os despachos da Diretora sobre as duas Informações têm data de </w:t>
      </w:r>
      <w:r>
        <w:rPr>
          <w:b/>
          <w:bCs/>
        </w:rPr>
        <w:t xml:space="preserve">23-07, 23:34 e 23:47</w:t>
      </w:r>
      <w:r>
        <w:t xml:space="preserve">. Durante oito dias, atos com efeitos externos existiram sem despacho superior que os sustentasse, praticados na sequência de decisões verbais.</w:t>
      </w:r>
    </w:p>
    <w:p>
      <w:pPr>
        <w:spacing w:after="120"/>
        <w:jc w:val="both"/>
      </w:pPr>
      <w:r>
        <w:rPr>
          <w:b/>
          <w:bCs/>
        </w:rPr>
        <w:t xml:space="preserve">Porque é grave:</w:t>
      </w:r>
      <w:r>
        <w:t xml:space="preserve"> num procedimento escrutinado à lupa por um queixoso litigante, a ordem </w:t>
      </w:r>
      <w:r>
        <w:t xml:space="preserve">«executar primeiro, despachar depois»</w:t>
      </w:r>
      <w:r>
        <w:t xml:space="preserve"> é o tipo de padrão que uma inspeção ou o MP resume numa frase má (</w:t>
      </w:r>
      <w:r>
        <w:t xml:space="preserve">«os serviços praticaram os atos e a dirigente ratificou-os à posteriori, à noite, depois de o conflito escalar»</w:t>
      </w:r>
      <w:r>
        <w:t xml:space="preserve">). A hora dos despachos (23h34/23h47) é um detalhe que um advogado hábil usaria para sugerir precipitação sob pressão.</w:t>
      </w:r>
    </w:p>
    <w:p>
      <w:pPr>
        <w:spacing w:after="120"/>
        <w:jc w:val="both"/>
      </w:pPr>
      <w:r>
        <w:rPr>
          <w:b/>
          <w:bCs/>
        </w:rPr>
        <w:t xml:space="preserve">Quem pode explorar:</w:t>
      </w:r>
      <w:r>
        <w:t xml:space="preserve"> o denunciante (se alguma vez aceder às datas internas — hoje não tem como), a CADA (marginalmente, na parte LADA), o MP em inquérito.</w:t>
      </w:r>
    </w:p>
    <w:p>
      <w:pPr>
        <w:spacing w:after="120"/>
        <w:jc w:val="both"/>
      </w:pPr>
      <w:r>
        <w:rPr>
          <w:b/>
          <w:bCs/>
        </w:rPr>
        <w:t xml:space="preserve">Mitigação — e é sólida:</w:t>
      </w:r>
      <w:r>
        <w:t xml:space="preserve"> a figura da </w:t>
      </w:r>
      <w:r>
        <w:rPr>
          <w:b/>
          <w:bCs/>
        </w:rPr>
        <w:t xml:space="preserve">ratificação</w:t>
      </w:r>
      <w:r>
        <w:t xml:space="preserve"> está expressamente prevista no art. 164.º CPA e </w:t>
      </w:r>
      <w:r>
        <w:rPr>
          <w:b/>
          <w:bCs/>
        </w:rPr>
        <w:t xml:space="preserve">tem efeitos retroativos</w:t>
      </w:r>
      <w:r>
        <w:t xml:space="preserve"> ao momento da prática do ato; o órgão competente pode ratificar atos praticados sem despacho prévio. Mais importante: a própria Informação 105506/26 </w:t>
      </w:r>
      <w:r>
        <w:rPr>
          <w:b/>
          <w:bCs/>
        </w:rPr>
        <w:t xml:space="preserve">pediu a ratificação às claras</w:t>
      </w:r>
      <w:r>
        <w:t xml:space="preserve"> (</w:t>
      </w:r>
      <w:r>
        <w:t xml:space="preserve">«propõe-se a ratificação da tramitação descrita, incluindo os atos praticados na sequência da apresentação da MCP»</w:t>
      </w:r>
      <w:r>
        <w:t xml:space="preserve">) — não houve dissimulação, houve regularização transparente, e o procedimento é </w:t>
      </w:r>
      <w:r>
        <w:rPr>
          <w:b/>
          <w:bCs/>
        </w:rPr>
        <w:t xml:space="preserve">vinculado</w:t>
      </w:r>
      <w:r>
        <w:t xml:space="preserve"> (o conteúdo dos atos não podia ser outro). O ofício à interessada, embora datado de 17-07, foi assinado pela própria Diretora — quem tinha competência para o ato assinou-o.</w:t>
      </w:r>
    </w:p>
    <w:p>
      <w:pPr>
        <w:spacing w:after="120"/>
        <w:jc w:val="both"/>
      </w:pPr>
      <w:r>
        <w:rPr>
          <w:b/>
          <w:bCs/>
        </w:rPr>
        <w:t xml:space="preserve">Ação:</w:t>
      </w:r>
      <w:r>
        <w:t xml:space="preserve"> nenhuma retroativa (não tocar em nada). Doravante: nenhum ato com efeito externo antes do despacho, sem exceções — este processo já gastou a cota de ratificações.</w:t>
      </w:r>
    </w:p>
    <w:p>
      <w:pPr>
        <w:pStyle w:val="Heading3"/>
        <w:spacing w:after="120" w:before="240"/>
      </w:pPr>
      <w:r>
        <w:t xml:space="preserve">F2 — Rasuras tecnicamente imperfeitas, confirmadas pelo próprio requerente — </w:t>
      </w:r>
      <w:r>
        <w:rPr>
          <w:b/>
          <w:bCs/>
        </w:rPr>
        <w:t xml:space="preserve">ALTA, ativa</w:t>
      </w:r>
    </w:p>
    <w:p>
      <w:pPr>
        <w:spacing w:after="120"/>
        <w:jc w:val="both"/>
      </w:pPr>
      <w:r>
        <w:rPr>
          <w:b/>
          <w:bCs/>
        </w:rPr>
        <w:t xml:space="preserve">Factos:</w:t>
      </w:r>
      <w:r>
        <w:t xml:space="preserve"> o denunciante escreveu (24-07) que </w:t>
      </w:r>
      <w:r>
        <w:t xml:space="preserve">«a grafia e assinatura constantes do documento original são perfeitamente perceptíveis e identificáveis»</w:t>
      </w:r>
      <w:r>
        <w:t xml:space="preserve"> na página 1 do pacote LADA. A Informação 109085/26 já reconhecia (ponto 3.c) que as rasuras foram executadas </w:t>
      </w:r>
      <w:r>
        <w:t xml:space="preserve">«com os meios correntes disponíveis, não dispondo estes serviços de meios técnicos especializados nem de prática de anonimização»</w:t>
      </w:r>
      <w:r>
        <w:t xml:space="preserve">.</w:t>
      </w:r>
    </w:p>
    <w:p>
      <w:pPr>
        <w:spacing w:after="120"/>
        <w:jc w:val="both"/>
      </w:pPr>
      <w:r>
        <w:rPr>
          <w:b/>
          <w:bCs/>
        </w:rPr>
        <w:t xml:space="preserve">Porque é grave:</w:t>
      </w:r>
      <w:r>
        <w:t xml:space="preserve"> o lesado potencial </w:t>
      </w:r>
      <w:r>
        <w:rPr>
          <w:b/>
          <w:bCs/>
        </w:rPr>
        <w:t xml:space="preserve">não é ele</w:t>
      </w:r>
      <w:r>
        <w:t xml:space="preserve"> (a ele nada foi ocultado que pudesse reclamar — e a confissão de perceptibilidade destrói a tese da ocultação); é a </w:t>
      </w:r>
      <w:r>
        <w:rPr>
          <w:b/>
          <w:bCs/>
        </w:rPr>
        <w:t xml:space="preserve">Susana Walgode</w:t>
      </w:r>
      <w:r>
        <w:t xml:space="preserve">, cujos dados pessoais foram parcialmente expostos a um terceiro em litígio com ela. O risco tem dois vetores: queixa dela (improvável — está de boa relação com os serviços — mas o direito é dela, não depende da relação) e, teoricamente, a CNPD. Há ainda o vetor reputacional: uma rasura falhada num processo vigiado é o tipo de erro </w:t>
      </w:r>
      <w:r>
        <w:t xml:space="preserve">«pequeno»</w:t>
      </w:r>
      <w:r>
        <w:t xml:space="preserve"> que contamina a perceção de competência do resto.</w:t>
      </w:r>
    </w:p>
    <w:p>
      <w:pPr>
        <w:spacing w:after="120"/>
        <w:jc w:val="both"/>
      </w:pPr>
      <w:r>
        <w:rPr>
          <w:b/>
          <w:bCs/>
        </w:rPr>
        <w:t xml:space="preserve">Mitigação:</w:t>
      </w:r>
      <w:r>
        <w:t xml:space="preserve"> a reserva escrita dos </w:t>
      </w:r>
      <w:r>
        <w:t xml:space="preserve">«meios correntes»</w:t>
      </w:r>
      <w:r>
        <w:t xml:space="preserve"> (que converte o defeito em limitação declarada, não em negligência oculta); a decisão sobre a suficiência das rasuras foi expressamente remetida à consideração superior (ponto 6 da 109085/26) e despachada; a uniformidade do critério está fundamentada.</w:t>
      </w:r>
    </w:p>
    <w:p>
      <w:pPr>
        <w:spacing w:after="120"/>
        <w:jc w:val="both"/>
      </w:pPr>
      <w:r>
        <w:rPr>
          <w:b/>
          <w:bCs/>
        </w:rPr>
        <w:t xml:space="preserve">Ação:</w:t>
      </w:r>
      <w:r>
        <w:t xml:space="preserve"> (i) comunicar o facto (a perceptibilidade confirmada) à DAJA e à Diretora — por escrito, factual, sem proposta — porque a decisão de refazer ou não o expurgo é deles; (ii) se houver segunda comunicação de documentos, método analógico obrigatório (imprimir, tapar com opaco, redigitalizar, verificar página a página); (iii) nunca refazer por iniciativa própria o pacote já expedido.</w:t>
      </w:r>
    </w:p>
    <w:p>
      <w:pPr>
        <w:pStyle w:val="Heading3"/>
        <w:spacing w:after="120" w:before="240"/>
      </w:pPr>
      <w:r>
        <w:t xml:space="preserve">F3 — Padrão recorrente de dupla data nos ofícios — </w:t>
      </w:r>
      <w:r>
        <w:rPr>
          <w:b/>
          <w:bCs/>
        </w:rPr>
        <w:t xml:space="preserve">MÉDIA-ALTA, ativa</w:t>
      </w:r>
    </w:p>
    <w:p>
      <w:pPr>
        <w:spacing w:after="120"/>
        <w:jc w:val="both"/>
      </w:pPr>
      <w:r>
        <w:rPr>
          <w:b/>
          <w:bCs/>
        </w:rPr>
        <w:t xml:space="preserve">Factos:</w:t>
      </w:r>
      <w:r>
        <w:t xml:space="preserve"> 64462/26-E datado de 10-04, expedido a 22-04; 69643/26 datado de 22-04, remetido a 24-04 (e referido ora como </w:t>
      </w:r>
      <w:r>
        <w:t xml:space="preserve">«-S»</w:t>
      </w:r>
      <w:r>
        <w:t xml:space="preserve"> ora como </w:t>
      </w:r>
      <w:r>
        <w:t xml:space="preserve">«-V»</w:t>
      </w:r>
      <w:r>
        <w:t xml:space="preserve">); 106881/26-E datado de 17-07 e — a confirmar — expedido por volta de 23-07 (o nome do ficheiro no processo sugere-o).</w:t>
      </w:r>
    </w:p>
    <w:p>
      <w:pPr>
        <w:spacing w:after="120"/>
        <w:jc w:val="both"/>
      </w:pPr>
      <w:r>
        <w:rPr>
          <w:b/>
          <w:bCs/>
        </w:rPr>
        <w:t xml:space="preserve">Porque importa:</w:t>
      </w:r>
      <w:r>
        <w:t xml:space="preserve"> um caso isolado explica-se; três casos são um </w:t>
      </w:r>
      <w:r>
        <w:rPr>
          <w:b/>
          <w:bCs/>
        </w:rPr>
        <w:t xml:space="preserve">padrão</w:t>
      </w:r>
      <w:r>
        <w:t xml:space="preserve">, e padrões alimentam a tese que ele já ensaiou (</w:t>
      </w:r>
      <w:r>
        <w:t xml:space="preserve">«documentos fabricados a posteriori»</w:t>
      </w:r>
      <w:r>
        <w:t xml:space="preserve">). O caso do 64462 é o mais sensível: datado um dia depois da cessação dele (09-04→10-04), expedido doze dias depois — cronologia inocente, mas com aparência explorável.</w:t>
      </w:r>
    </w:p>
    <w:p>
      <w:pPr>
        <w:spacing w:after="120"/>
        <w:jc w:val="both"/>
      </w:pPr>
      <w:r>
        <w:rPr>
          <w:b/>
          <w:bCs/>
        </w:rPr>
        <w:t xml:space="preserve">Mitigação:</w:t>
      </w:r>
      <w:r>
        <w:t xml:space="preserve"> a Informação 109085/26 </w:t>
      </w:r>
      <w:r>
        <w:rPr>
          <w:b/>
          <w:bCs/>
        </w:rPr>
        <w:t xml:space="preserve">assumiu por escrito</w:t>
      </w:r>
      <w:r>
        <w:t xml:space="preserve"> a dupla data do 64462 (</w:t>
      </w:r>
      <w:r>
        <w:t xml:space="preserve">«datado de 10-04-2026, expedido em 22-04-2026»</w:t>
      </w:r>
      <w:r>
        <w:t xml:space="preserve">) — transparência documentada antes de qualquer acusação; a explicação é monótona e verdadeira (elaboração vs. expedição, com verificação intermédia das correções).</w:t>
      </w:r>
    </w:p>
    <w:p>
      <w:pPr>
        <w:spacing w:after="120"/>
        <w:jc w:val="both"/>
      </w:pPr>
      <w:r>
        <w:rPr>
          <w:b/>
          <w:bCs/>
        </w:rPr>
        <w:t xml:space="preserve">Ação:</w:t>
      </w:r>
      <w:r>
        <w:t xml:space="preserve"> confirmar a data real de expedição do 106881/26-E e registá-la; doravante, datar ofícios na data de expedição ou consignar sempre as duas datas. Nunca </w:t>
      </w:r>
      <w:r>
        <w:t xml:space="preserve">«acertar»</w:t>
      </w:r>
      <w:r>
        <w:t xml:space="preserve"> retroativamente nenhuma data.</w:t>
      </w:r>
    </w:p>
    <w:p>
      <w:pPr>
        <w:pStyle w:val="Heading3"/>
        <w:spacing w:after="120" w:before="240"/>
      </w:pPr>
      <w:r>
        <w:t xml:space="preserve">F4 — Prazo do primeiro pedido LADA cumprido apenas com resposta interina — </w:t>
      </w:r>
      <w:r>
        <w:rPr>
          <w:b/>
          <w:bCs/>
        </w:rPr>
        <w:t xml:space="preserve">MÉDIA, consumada</w:t>
      </w:r>
    </w:p>
    <w:p>
      <w:pPr>
        <w:spacing w:after="120"/>
        <w:jc w:val="both"/>
      </w:pPr>
      <w:r>
        <w:rPr>
          <w:b/>
          <w:bCs/>
        </w:rPr>
        <w:t xml:space="preserve">Factos:</w:t>
      </w:r>
      <w:r>
        <w:t xml:space="preserve"> o pedido LADA de 01-07 tinha termo em 15-07 (10 dias úteis); nessa data seguiu resposta </w:t>
      </w:r>
      <w:r>
        <w:t xml:space="preserve">«em apreciação jurídica»</w:t>
      </w:r>
      <w:r>
        <w:t xml:space="preserve"> — que não é decisão, nem prorrogação formal, nem submissão à CADA (as três vias do art. 15.º). A decisão material só saiu a 23-07, dentro do prazo do </w:t>
      </w:r>
      <w:r>
        <w:rPr>
          <w:b/>
          <w:bCs/>
        </w:rPr>
        <w:t xml:space="preserve">pedido ampliado</w:t>
      </w:r>
      <w:r>
        <w:t xml:space="preserve"> de 15-07.</w:t>
      </w:r>
    </w:p>
    <w:p>
      <w:pPr>
        <w:spacing w:after="120"/>
        <w:jc w:val="both"/>
      </w:pPr>
      <w:r>
        <w:rPr>
          <w:b/>
          <w:bCs/>
        </w:rPr>
        <w:t xml:space="preserve">Porque importa:</w:t>
      </w:r>
      <w:r>
        <w:t xml:space="preserve"> é o único ponto em que a queixa dele à CADA tem um grão de razão formal. A CADA pode consignar que o primeiro pedido não foi decidido no prazo.</w:t>
      </w:r>
    </w:p>
    <w:p>
      <w:pPr>
        <w:spacing w:after="120"/>
        <w:jc w:val="both"/>
      </w:pPr>
      <w:r>
        <w:rPr>
          <w:b/>
          <w:bCs/>
        </w:rPr>
        <w:t xml:space="preserve">Mitigação:</w:t>
      </w:r>
      <w:r>
        <w:t xml:space="preserve"> sem dano material (o acesso foi </w:t>
      </w:r>
      <w:r>
        <w:rPr>
          <w:b/>
          <w:bCs/>
        </w:rPr>
        <w:t xml:space="preserve">concedido</w:t>
      </w:r>
      <w:r>
        <w:t xml:space="preserve">, oito dias depois do primeiro termo e seis dias antes do segundo); a ampliação de 15-07 absorveu e alargou o objeto; a complexidade (ponderação do art. 6.º/5 com consulta à DAJA) é fundamento compreensível; a jurisprudência da CADA valoriza o resultado (acesso efetivo) sobre o rito.</w:t>
      </w:r>
    </w:p>
    <w:p>
      <w:pPr>
        <w:spacing w:after="120"/>
        <w:jc w:val="both"/>
      </w:pPr>
      <w:r>
        <w:rPr>
          <w:b/>
          <w:bCs/>
        </w:rPr>
        <w:t xml:space="preserve">Ação:</w:t>
      </w:r>
      <w:r>
        <w:t xml:space="preserve"> na pronúncia à CADA, assumir a cronologia sem defensividade: pedido, complexidade, consulta jurídica, decisão de deferimento parcial antes do termo do pedido ampliado. Nada mais.</w:t>
      </w:r>
    </w:p>
    <w:p>
      <w:pPr>
        <w:pStyle w:val="Heading3"/>
        <w:spacing w:after="120" w:before="240"/>
      </w:pPr>
      <w:r>
        <w:t xml:space="preserve">F5 — Resposta à GNR pendente desde 23-03 — </w:t>
      </w:r>
      <w:r>
        <w:rPr>
          <w:b/>
          <w:bCs/>
        </w:rPr>
        <w:t xml:space="preserve">MÉDIA, ativa e de resolução imediata</w:t>
      </w:r>
    </w:p>
    <w:p>
      <w:pPr>
        <w:spacing w:after="120"/>
        <w:jc w:val="both"/>
      </w:pPr>
      <w:r>
        <w:rPr>
          <w:b/>
          <w:bCs/>
        </w:rPr>
        <w:t xml:space="preserve">Factos:</w:t>
      </w:r>
      <w:r>
        <w:t xml:space="preserve"> o OFI00069/26 pedia </w:t>
      </w:r>
      <w:r>
        <w:t xml:space="preserve">«informação do resultado das diligências»</w:t>
      </w:r>
      <w:r>
        <w:t xml:space="preserve">; quatro meses depois, sem resposta.</w:t>
      </w:r>
    </w:p>
    <w:p>
      <w:pPr>
        <w:spacing w:after="120"/>
        <w:jc w:val="both"/>
      </w:pPr>
      <w:r>
        <w:rPr>
          <w:b/>
          <w:bCs/>
        </w:rPr>
        <w:t xml:space="preserve">Porque importa:</w:t>
      </w:r>
      <w:r>
        <w:t xml:space="preserve"> </w:t>
      </w:r>
      <w:r>
        <w:t xml:space="preserve">«a DGAV ignora até a GNR»</w:t>
      </w:r>
      <w:r>
        <w:t xml:space="preserve"> é retórica pronta a usar; e a GNR é o único interlocutor institucional cuja boa vontade importa preservar no terreno.</w:t>
      </w:r>
    </w:p>
    <w:p>
      <w:pPr>
        <w:spacing w:after="120"/>
        <w:jc w:val="both"/>
      </w:pPr>
      <w:r>
        <w:rPr>
          <w:b/>
          <w:bCs/>
        </w:rPr>
        <w:t xml:space="preserve">Mitigação:</w:t>
      </w:r>
      <w:r>
        <w:t xml:space="preserve"> a minuta está pronta desde 17-07 (secção 6 do CHECKPOINT_MCP_DA_SUSANA), com disciplina de minimização (o SEPNA reencaminha conteúdos ao denunciante — provado pelo OFI01196/26).</w:t>
      </w:r>
    </w:p>
    <w:p>
      <w:pPr>
        <w:spacing w:after="120"/>
        <w:jc w:val="both"/>
      </w:pPr>
      <w:r>
        <w:rPr>
          <w:b/>
          <w:bCs/>
        </w:rPr>
        <w:t xml:space="preserve">Ação:</w:t>
      </w:r>
      <w:r>
        <w:t xml:space="preserve"> expedir esta semana. Com os despachos assinados, já nada o impede.</w:t>
      </w:r>
    </w:p>
    <w:p>
      <w:pPr>
        <w:pStyle w:val="Heading3"/>
        <w:spacing w:after="120" w:before="240"/>
      </w:pPr>
      <w:r>
        <w:t xml:space="preserve">F6 — Conversas determinantes sem registo escrito — </w:t>
      </w:r>
      <w:r>
        <w:rPr>
          <w:b/>
          <w:bCs/>
        </w:rPr>
        <w:t xml:space="preserve">MÉDIA, parcialmente irrecuperável</w:t>
      </w:r>
    </w:p>
    <w:p>
      <w:pPr>
        <w:spacing w:after="120"/>
        <w:jc w:val="both"/>
      </w:pPr>
      <w:r>
        <w:rPr>
          <w:b/>
          <w:bCs/>
        </w:rPr>
        <w:t xml:space="preserve">Factos:</w:t>
      </w:r>
      <w:r>
        <w:t xml:space="preserve"> (i) complemento telefónico da orientação DAJA de 03-07 (</w:t>
      </w:r>
      <w:r>
        <w:t xml:space="preserve">«Irei ligar-lhe dentro de instantes»</w:t>
      </w:r>
      <w:r>
        <w:t xml:space="preserve">) — teor desconhecido; (ii) chamada da Diretora com o denunciante a 13-07 — o único registo existente é a </w:t>
      </w:r>
      <w:r>
        <w:rPr>
          <w:b/>
          <w:bCs/>
        </w:rPr>
        <w:t xml:space="preserve">caracterização unilateral dele</w:t>
      </w:r>
      <w:r>
        <w:t xml:space="preserve"> na tréplica (</w:t>
      </w:r>
      <w:r>
        <w:t xml:space="preserve">«a Senhora Diretora está a tapar fogos institucionais provocados pela atuação dos técnicos da região que dirige»</w:t>
      </w:r>
      <w:r>
        <w:t xml:space="preserve">).</w:t>
      </w:r>
    </w:p>
    <w:p>
      <w:pPr>
        <w:spacing w:after="120"/>
        <w:jc w:val="both"/>
      </w:pPr>
      <w:r>
        <w:rPr>
          <w:b/>
          <w:bCs/>
        </w:rPr>
        <w:t xml:space="preserve">Porque importa:</w:t>
      </w:r>
      <w:r>
        <w:t xml:space="preserve"> num eventual inquérito, a versão dele da chamada é a única escrita. A frase que ele lhe atribui é simultaneamente um elogio envenenado à Diretora e uma acusação aos técnicos — cisão hierárquica clássica.</w:t>
      </w:r>
    </w:p>
    <w:p>
      <w:pPr>
        <w:spacing w:after="120"/>
        <w:jc w:val="both"/>
      </w:pPr>
      <w:r>
        <w:rPr>
          <w:b/>
          <w:bCs/>
        </w:rPr>
        <w:t xml:space="preserve">Mitigação:</w:t>
      </w:r>
      <w:r>
        <w:t xml:space="preserve"> nenhuma até existir memo.</w:t>
      </w:r>
    </w:p>
    <w:p>
      <w:pPr>
        <w:spacing w:after="120"/>
        <w:jc w:val="both"/>
      </w:pPr>
      <w:r>
        <w:rPr>
          <w:b/>
          <w:bCs/>
        </w:rPr>
        <w:t xml:space="preserve">Ação:</w:t>
      </w:r>
      <w:r>
        <w:t xml:space="preserve"> memo da chamada de 13-07 </w:t>
      </w:r>
      <w:r>
        <w:rPr>
          <w:b/>
          <w:bCs/>
        </w:rPr>
        <w:t xml:space="preserve">pela Diretora</w:t>
      </w:r>
      <w:r>
        <w:t xml:space="preserve"> (não pelo técnico — não foi interveniente), mesmo tardio, com a menção </w:t>
      </w:r>
      <w:r>
        <w:t xml:space="preserve">«registo elaborado em [data] por referência à chamada de 13-07»</w:t>
      </w:r>
      <w:r>
        <w:t xml:space="preserve">; a partir de agora, qualquer contacto verbal com qualquer das partes gera nota no processo no próprio dia.</w:t>
      </w:r>
    </w:p>
    <w:p>
      <w:pPr>
        <w:pStyle w:val="Heading3"/>
        <w:spacing w:after="120" w:before="240"/>
      </w:pPr>
      <w:r>
        <w:t xml:space="preserve">F7 — A </w:t>
      </w:r>
      <w:r>
        <w:t xml:space="preserve">«promessa de vigilância»</w:t>
      </w:r>
      <w:r>
        <w:t xml:space="preserve"> de 27-10-2025 — </w:t>
      </w:r>
      <w:r>
        <w:rPr>
          <w:b/>
          <w:bCs/>
        </w:rPr>
        <w:t xml:space="preserve">MÉDIA-BAIXA, retórica mas persistente</w:t>
      </w:r>
    </w:p>
    <w:p>
      <w:pPr>
        <w:spacing w:after="120"/>
        <w:jc w:val="both"/>
      </w:pPr>
      <w:r>
        <w:rPr>
          <w:b/>
          <w:bCs/>
        </w:rPr>
        <w:t xml:space="preserve">Factos:</w:t>
      </w:r>
      <w:r>
        <w:t xml:space="preserve"> o ofício que encerrou o P.15607/25 terminava </w:t>
      </w:r>
      <w:r>
        <w:t xml:space="preserve">«sem prejuízo de demais tramitação processual que se afigure necessária, designadamente no âmbito da legislação atinente ao bem-estar e sanidade animal»</w:t>
      </w:r>
      <w:r>
        <w:t xml:space="preserve">. Ele cita-o como promessa incumprida de monitorização (</w:t>
      </w:r>
      <w:r>
        <w:t xml:space="preserve">«que ações concretas promoveram desde essa data? A resposta é nenhuma»</w:t>
      </w:r>
      <w:r>
        <w:t xml:space="preserve">).</w:t>
      </w:r>
    </w:p>
    <w:p>
      <w:pPr>
        <w:spacing w:after="120"/>
        <w:jc w:val="both"/>
      </w:pPr>
      <w:r>
        <w:rPr>
          <w:b/>
          <w:bCs/>
        </w:rPr>
        <w:t xml:space="preserve">Porque importa:</w:t>
      </w:r>
      <w:r>
        <w:t xml:space="preserve"> é o melhor argumento retórico dele — soa a compromisso e o intervalo out-2025→mar-2026 não tem ações documentadas.</w:t>
      </w:r>
    </w:p>
    <w:p>
      <w:pPr>
        <w:spacing w:after="120"/>
        <w:jc w:val="both"/>
      </w:pPr>
      <w:r>
        <w:rPr>
          <w:b/>
          <w:bCs/>
        </w:rPr>
        <w:t xml:space="preserve">Resposta de fundo (sólida):</w:t>
      </w:r>
      <w:r>
        <w:t xml:space="preserve"> a fórmula é cláusula de estilo de encerramento, não plano de vigilância; não existe dever legal de monitorização contínua de um local onde três verificações </w:t>
      </w:r>
      <w:r>
        <w:rPr>
          <w:b/>
          <w:bCs/>
        </w:rPr>
        <w:t xml:space="preserve">não confirmaram</w:t>
      </w:r>
      <w:r>
        <w:t xml:space="preserve"> maus-tratos; a fiscalização é planeada por risco e desencadeada por notícia — e cada notícia teve resposta documentada (out-2025: verificação; mar-2026: duas visitas GNR + ação DGAV em abril). Acrescente-se o anacronismo estrutural da tese </w:t>
      </w:r>
      <w:r>
        <w:t xml:space="preserve">«4 anos de inação»</w:t>
      </w:r>
      <w:r>
        <w:t xml:space="preserve">: a competência é da DGAV </w:t>
      </w:r>
      <w:r>
        <w:rPr>
          <w:b/>
          <w:bCs/>
        </w:rPr>
        <w:t xml:space="preserve">desde julho de 2025</w:t>
      </w:r>
      <w:r>
        <w:t xml:space="preserve">.</w:t>
      </w:r>
    </w:p>
    <w:p>
      <w:pPr>
        <w:spacing w:after="120"/>
        <w:jc w:val="both"/>
      </w:pPr>
      <w:r>
        <w:rPr>
          <w:b/>
          <w:bCs/>
        </w:rPr>
        <w:t xml:space="preserve">Ação:</w:t>
      </w:r>
      <w:r>
        <w:t xml:space="preserve"> manter esta resposta em reserva para a sede onde a citação reaparecer (CADA não é a sede; a DG ou o MP podem ser).</w:t>
      </w:r>
    </w:p>
    <w:p>
      <w:pPr>
        <w:pStyle w:val="Heading3"/>
        <w:spacing w:after="120" w:before="240"/>
      </w:pPr>
      <w:r>
        <w:t xml:space="preserve">F8 — Tensão interna entre a taxatividade e as orientações da DAJA — </w:t>
      </w:r>
      <w:r>
        <w:rPr>
          <w:b/>
          <w:bCs/>
        </w:rPr>
        <w:t xml:space="preserve">MÉDIA-BAIXA, gerida</w:t>
      </w:r>
    </w:p>
    <w:p>
      <w:pPr>
        <w:spacing w:after="120"/>
        <w:jc w:val="both"/>
      </w:pPr>
      <w:r>
        <w:rPr>
          <w:b/>
          <w:bCs/>
        </w:rPr>
        <w:t xml:space="preserve">Factos:</w:t>
      </w:r>
      <w:r>
        <w:t xml:space="preserve"> a posição escrita ao denunciante (01-07: elenco taxativo, sem elementos dominiais) convive no processo com duas orientações da DAJA em sentido divergente (03-07: </w:t>
      </w:r>
      <w:r>
        <w:t xml:space="preserve">«exigir a cada um a demonstração do título»</w:t>
      </w:r>
      <w:r>
        <w:t xml:space="preserve">; 18-07: </w:t>
      </w:r>
      <w:r>
        <w:t xml:space="preserve">«se as moradas não coincidirem, exigir prova de direito»</w:t>
      </w:r>
      <w:r>
        <w:t xml:space="preserve">) e com a solicitação efetiva de elementos de titularidade à requerente (que os remeteu).</w:t>
      </w:r>
    </w:p>
    <w:p>
      <w:pPr>
        <w:spacing w:after="120"/>
        <w:jc w:val="both"/>
      </w:pPr>
      <w:r>
        <w:rPr>
          <w:b/>
          <w:bCs/>
        </w:rPr>
        <w:t xml:space="preserve">Porque importa:</w:t>
      </w:r>
      <w:r>
        <w:t xml:space="preserve"> se o processo integral for lido por uma instância externa, a tensão é visível: a DGAV disse a um interessado que não podia exigir títulos e pediu títulos à outra interessada dias depois.</w:t>
      </w:r>
    </w:p>
    <w:p>
      <w:pPr>
        <w:spacing w:after="120"/>
        <w:jc w:val="both"/>
      </w:pPr>
      <w:r>
        <w:rPr>
          <w:b/>
          <w:bCs/>
        </w:rPr>
        <w:t xml:space="preserve">Mitigação — cuidadosamente construída:</w:t>
      </w:r>
      <w:r>
        <w:t xml:space="preserve"> a Informação 105506/26 resolve a contradição pela </w:t>
      </w:r>
      <w:r>
        <w:rPr>
          <w:b/>
          <w:bCs/>
        </w:rPr>
        <w:t xml:space="preserve">qualificação</w:t>
      </w:r>
      <w:r>
        <w:t xml:space="preserve">: alínea j) reafirma a incompetência dominial; alínea k) enquadra a solicitação como diligência </w:t>
      </w:r>
      <w:r>
        <w:t xml:space="preserve">«na sequência de orientação escrita pelo gabinete jurídico»</w:t>
      </w:r>
      <w:r>
        <w:t xml:space="preserve">, cujos documentos foram juntos </w:t>
      </w:r>
      <w:r>
        <w:t xml:space="preserve">«por cautela»</w:t>
      </w:r>
      <w:r>
        <w:t xml:space="preserve">, e cuja apreciação </w:t>
      </w:r>
      <w:r>
        <w:t xml:space="preserve">«se confirmou extravasar a competência técnica destes serviços»</w:t>
      </w:r>
      <w:r>
        <w:t xml:space="preserve">. Ou seja: pediu-se no plano da instrução das exposições, nunca como condição da MCP; e o confronto geográfico (secção 4) esvaziou a condição da DAJA sem nunca a contradizer frontalmente.</w:t>
      </w:r>
    </w:p>
    <w:p>
      <w:pPr>
        <w:spacing w:after="120"/>
        <w:jc w:val="both"/>
      </w:pPr>
      <w:r>
        <w:rPr>
          <w:b/>
          <w:bCs/>
        </w:rPr>
        <w:t xml:space="preserve">Ação:</w:t>
      </w:r>
      <w:r>
        <w:t xml:space="preserve"> manter a disciplina de planos separados em todas as peças futuras; se alguma instância notar a tensão, a resposta é a alínea k) — está escrita e despachada.</w:t>
      </w:r>
    </w:p>
    <w:p>
      <w:pPr>
        <w:pStyle w:val="Heading3"/>
        <w:spacing w:after="120" w:before="240"/>
      </w:pPr>
      <w:r>
        <w:t xml:space="preserve">F9 — Defeitos formais acumulados nos instrumentos de campo — </w:t>
      </w:r>
      <w:r>
        <w:rPr>
          <w:b/>
          <w:bCs/>
        </w:rPr>
        <w:t xml:space="preserve">BAIXA, em correção</w:t>
      </w:r>
    </w:p>
    <w:p>
      <w:pPr>
        <w:spacing w:after="120"/>
        <w:jc w:val="both"/>
      </w:pPr>
      <w:r>
        <w:rPr>
          <w:b/>
          <w:bCs/>
        </w:rPr>
        <w:t xml:space="preserve">Factos:</w:t>
      </w:r>
      <w:r>
        <w:t xml:space="preserve"> folha de assinaturas de 13-04 em impresso com logótipos do </w:t>
      </w:r>
      <w:r>
        <w:rPr>
          <w:b/>
          <w:bCs/>
        </w:rPr>
        <w:t xml:space="preserve">ICNF</w:t>
      </w:r>
      <w:r>
        <w:t xml:space="preserve">; páginas interiores da lista de verificação com anotações manuscritas; no relatório de 21-07, campos por preencher (Proc. Gesdoc, NIF, coordenadas, n.º de registo DGAV, médico veterinário responsável), título aposto à mão (</w:t>
      </w:r>
      <w:r>
        <w:t xml:space="preserve">«Relatório de seguimento»</w:t>
      </w:r>
      <w:r>
        <w:t xml:space="preserve">) e a terceira declaração (envio de documentação eletrónica) por assinalar; artefactos de digitalização (CamScanner) em versões de trabalho.</w:t>
      </w:r>
    </w:p>
    <w:p>
      <w:pPr>
        <w:spacing w:after="120"/>
        <w:jc w:val="both"/>
      </w:pPr>
      <w:r>
        <w:rPr>
          <w:b/>
          <w:bCs/>
        </w:rPr>
        <w:t xml:space="preserve">Porque importa:</w:t>
      </w:r>
      <w:r>
        <w:t xml:space="preserve"> individualmente irrelevantes; somados, compõem o retrato de </w:t>
      </w:r>
      <w:r>
        <w:t xml:space="preserve">«serviços desleixados»</w:t>
      </w:r>
      <w:r>
        <w:t xml:space="preserve"> que a tese dos </w:t>
      </w:r>
      <w:r>
        <w:t xml:space="preserve">«erros primários»</w:t>
      </w:r>
      <w:r>
        <w:t xml:space="preserve"> precisa. O impresso ICNF é o único com potencial de exploração direta (autenticidade do documento).</w:t>
      </w:r>
    </w:p>
    <w:p>
      <w:pPr>
        <w:spacing w:after="120"/>
        <w:jc w:val="both"/>
      </w:pPr>
      <w:r>
        <w:rPr>
          <w:b/>
          <w:bCs/>
        </w:rPr>
        <w:t xml:space="preserve">Mitigação:</w:t>
      </w:r>
      <w:r>
        <w:t xml:space="preserve"> nota explicativa do impresso ICNF prevista e vertida na própria Informação 109085/26 (modelo transitório da transferência de competências de 2025, </w:t>
      </w:r>
      <w:r>
        <w:t xml:space="preserve">«não afeta a autoria nem a validade»</w:t>
      </w:r>
      <w:r>
        <w:t xml:space="preserve">); art. 163.º/5 CPA (aproveitamento);</w:t>
      </w:r>
    </w:p>
    <w:p>
      <w:pPr>
        <w:spacing w:after="120"/>
        <w:jc w:val="both"/>
      </w:pPr>
      <w:r>
        <w:rPr>
          <w:b/>
          <w:bCs/>
        </w:rPr>
        <w:t xml:space="preserve">Ação:</w:t>
      </w:r>
      <w:r>
        <w:t xml:space="preserve"> substituir definitivamente os impressos; nas próximas vistorias, checklist de preenchimento completo antes de encerrar o ato; remover o CamScanner das versões finais (confirmar que a expedida seguiu limpa).</w:t>
      </w:r>
    </w:p>
    <w:p>
      <w:pPr>
        <w:pStyle w:val="Heading3"/>
        <w:spacing w:after="120" w:before="240"/>
      </w:pPr>
      <w:r>
        <w:t xml:space="preserve">F10 — B642 comunicado ao denunciante antes da atualização da lista pública — </w:t>
      </w:r>
      <w:r>
        <w:rPr>
          <w:b/>
          <w:bCs/>
        </w:rPr>
        <w:t xml:space="preserve">BAIXA</w:t>
      </w:r>
    </w:p>
    <w:p>
      <w:pPr>
        <w:spacing w:after="120"/>
        <w:jc w:val="both"/>
      </w:pPr>
      <w:r>
        <w:rPr>
          <w:b/>
          <w:bCs/>
        </w:rPr>
        <w:t xml:space="preserve">Factos:</w:t>
      </w:r>
      <w:r>
        <w:t xml:space="preserve"> o ofício 109157/26-S informa-o do B642; a lista pública ainda não o exibe (</w:t>
      </w:r>
      <w:r>
        <w:t xml:space="preserve">«próxima atualização, conforme procedimento instituído»</w:t>
      </w:r>
      <w:r>
        <w:t xml:space="preserve"> — Informação 105506/26, alínea p)).</w:t>
      </w:r>
    </w:p>
    <w:p>
      <w:pPr>
        <w:spacing w:after="120"/>
        <w:jc w:val="both"/>
      </w:pPr>
      <w:r>
        <w:rPr>
          <w:b/>
          <w:bCs/>
        </w:rPr>
        <w:t xml:space="preserve">Porque importa:</w:t>
      </w:r>
      <w:r>
        <w:t xml:space="preserve"> janela para o número </w:t>
      </w:r>
      <w:r>
        <w:t xml:space="preserve">«não constar de lado nenhum»</w:t>
      </w:r>
      <w:r>
        <w:t xml:space="preserve"> — </w:t>
      </w:r>
      <w:r>
        <w:t xml:space="preserve">«registo fantasma»</w:t>
      </w:r>
      <w:r>
        <w:t xml:space="preserve">.</w:t>
      </w:r>
    </w:p>
    <w:p>
      <w:pPr>
        <w:spacing w:after="120"/>
        <w:jc w:val="both"/>
      </w:pPr>
      <w:r>
        <w:rPr>
          <w:b/>
          <w:bCs/>
        </w:rPr>
        <w:t xml:space="preserve">Mitigação:</w:t>
      </w:r>
      <w:r>
        <w:t xml:space="preserve"> o procedimento de atualização periódica está descrito e despachado; a interessada foi notificada primeiro; a menção do B642 ao denunciante foi decisão assinada pela Diretora.</w:t>
      </w:r>
    </w:p>
    <w:p>
      <w:pPr>
        <w:spacing w:after="120"/>
        <w:jc w:val="both"/>
      </w:pPr>
      <w:r>
        <w:rPr>
          <w:b/>
          <w:bCs/>
        </w:rPr>
        <w:t xml:space="preserve">Ação:</w:t>
      </w:r>
      <w:r>
        <w:t xml:space="preserve"> confirmar a atualização da lista na próxima iteração; nada mais.</w:t>
      </w:r>
    </w:p>
    <w:p>
      <w:pPr>
        <w:pStyle w:val="Heading3"/>
        <w:spacing w:after="120" w:before="240"/>
      </w:pPr>
      <w:r>
        <w:t xml:space="preserve">F11 — O flanco GNR/SEPNA — </w:t>
      </w:r>
      <w:r>
        <w:rPr>
          <w:b/>
          <w:bCs/>
        </w:rPr>
        <w:t xml:space="preserve">BAIXA (para a DGAV), estrutural</w:t>
      </w:r>
    </w:p>
    <w:p>
      <w:pPr>
        <w:spacing w:after="120"/>
        <w:jc w:val="both"/>
      </w:pPr>
      <w:r>
        <w:rPr>
          <w:b/>
          <w:bCs/>
        </w:rPr>
        <w:t xml:space="preserve">Factos:</w:t>
      </w:r>
      <w:r>
        <w:t xml:space="preserve"> foi o SEPNA quem revelou ao denunciante, por escrito (OFI01196/26), a existência do pedido de alteração de terceira — a informação que detonou a tese da </w:t>
      </w:r>
      <w:r>
        <w:t xml:space="preserve">«fraude»</w:t>
      </w:r>
      <w:r>
        <w:t xml:space="preserve">. O RS 24/26 consignou </w:t>
      </w:r>
      <w:r>
        <w:t xml:space="preserve">«licenciados»</w:t>
      </w:r>
      <w:r>
        <w:t xml:space="preserve"> com base num requerimento pendente exibido pela detentora.</w:t>
      </w:r>
    </w:p>
    <w:p>
      <w:pPr>
        <w:spacing w:after="120"/>
        <w:jc w:val="both"/>
      </w:pPr>
      <w:r>
        <w:rPr>
          <w:b/>
          <w:bCs/>
        </w:rPr>
        <w:t xml:space="preserve">Porque importa:</w:t>
      </w:r>
      <w:r>
        <w:t xml:space="preserve"> o conhecimento dele </w:t>
      </w:r>
      <w:r>
        <w:rPr>
          <w:b/>
          <w:bCs/>
        </w:rPr>
        <w:t xml:space="preserve">não veio de fuga da DGAV</w:t>
      </w:r>
      <w:r>
        <w:t xml:space="preserve"> — está integralmente explicado pelos canais GNR/SEPNA (análise de 17-07, com tripwires definidos). Mas as consignações da GNR são material que ele usa contra a DGAV como se fossem dela.</w:t>
      </w:r>
    </w:p>
    <w:p>
      <w:pPr>
        <w:spacing w:after="120"/>
        <w:jc w:val="both"/>
      </w:pPr>
      <w:r>
        <w:rPr>
          <w:b/>
          <w:bCs/>
        </w:rPr>
        <w:t xml:space="preserve">Ação:</w:t>
      </w:r>
      <w:r>
        <w:t xml:space="preserve"> nenhuma externa (não se corrige a GNR por escrito num processo vigiado); manter o OFI01196/26 arquivado como prova do perímetro de conhecimento dele; manter os tripwires (só há fuga se ele revelar: teor de emails internos, números de informações, cronologia taxa→averbamento antes da lista, teor da apreciação jurídica).</w:t>
      </w:r>
    </w:p>
    <w:p>
      <w:pPr>
        <w:pBdr>
          <w:bottom w:val="single" w:color="999999" w:sz="6"/>
        </w:pBdr>
        <w:spacing w:after="160"/>
      </w:pPr>
    </w:p>
    <w:p>
      <w:pPr>
        <w:pStyle w:val="Heading2"/>
        <w:spacing w:after="120" w:before="240"/>
      </w:pPr>
      <w:r>
        <w:t xml:space="preserve">6. A atuação do Rui Mónica — pontos fortes e fracos, graduados</w:t>
      </w:r>
    </w:p>
    <w:p>
      <w:pPr>
        <w:pStyle w:val="Heading3"/>
        <w:spacing w:after="120" w:before="240"/>
      </w:pPr>
      <w:r>
        <w:t xml:space="preserve">6.1 Pontos fortes (do mais para o menos perigoso)</w:t>
      </w:r>
    </w:p>
    <w:p>
      <w:pPr>
        <w:spacing w:after="120"/>
        <w:jc w:val="both"/>
      </w:pPr>
      <w:r>
        <w:rPr>
          <w:b/>
          <w:bCs/>
        </w:rPr>
        <w:t xml:space="preserve">RM-F1 — Persistência processualmente competente.</w:t>
      </w:r>
      <w:r>
        <w:t xml:space="preserve"> Usa os instrumentos certos (LADA, CADA, NUIPC, prazos, pedidos formais numerados) e responde em horas. O perigo não é ele ter razão — é a </w:t>
      </w:r>
      <w:r>
        <w:rPr>
          <w:b/>
          <w:bCs/>
        </w:rPr>
        <w:t xml:space="preserve">fadiga administrativa</w:t>
      </w:r>
      <w:r>
        <w:t xml:space="preserve">: cada carta dele obriga a uma resposta perfeita, e a probabilidade de erro nosso cresce com o volume. É a única arma dele com prazo de validade longo.</w:t>
      </w:r>
    </w:p>
    <w:p>
      <w:pPr>
        <w:spacing w:after="120"/>
        <w:jc w:val="both"/>
      </w:pPr>
      <w:r>
        <w:rPr>
          <w:b/>
          <w:bCs/>
        </w:rPr>
        <w:t xml:space="preserve">RM-F2 — Faro para os interstícios reais.</w:t>
      </w:r>
      <w:r>
        <w:t xml:space="preserve"> As fragilidades que ele ataca existem: as rasuras eram imperfeitas (F2), as datas duplas existem (F3), o silêncio de 29-05 a 01-07 existiu, a resposta interina de 15-07 não era decisão (F4). Ele erra nas conclusões (fraude, conivência), mas acerta nos pontos de pressão — o que obriga a tratar cada interstício antes de ele o encontrar.</w:t>
      </w:r>
    </w:p>
    <w:p>
      <w:pPr>
        <w:spacing w:after="120"/>
        <w:jc w:val="both"/>
      </w:pPr>
      <w:r>
        <w:rPr>
          <w:b/>
          <w:bCs/>
        </w:rPr>
        <w:t xml:space="preserve">RM-F3 — A citação de 27-10-2025.</w:t>
      </w:r>
      <w:r>
        <w:t xml:space="preserve"> A frase de encerramento do processo de 2025 (</w:t>
      </w:r>
      <w:r>
        <w:t xml:space="preserve">«sem prejuízo de demais tramitação…»</w:t>
      </w:r>
      <w:r>
        <w:t xml:space="preserve">) é o único texto </w:t>
      </w:r>
      <w:r>
        <w:rPr>
          <w:b/>
          <w:bCs/>
        </w:rPr>
        <w:t xml:space="preserve">nosso</w:t>
      </w:r>
      <w:r>
        <w:t xml:space="preserve"> que ele consegue usar como promessa incumprida (F7). Espere-se que a repita em todas as sedes.</w:t>
      </w:r>
    </w:p>
    <w:p>
      <w:pPr>
        <w:spacing w:after="120"/>
        <w:jc w:val="both"/>
      </w:pPr>
      <w:r>
        <w:rPr>
          <w:b/>
          <w:bCs/>
        </w:rPr>
        <w:t xml:space="preserve">RM-F4 — Cisão hierárquica hábil.</w:t>
      </w:r>
      <w:r>
        <w:t xml:space="preserve"> Trata a Diretora com deferência pessoal (</w:t>
      </w:r>
      <w:r>
        <w:t xml:space="preserve">«agradecer pessoalmente a disponibilidade»</w:t>
      </w:r>
      <w:r>
        <w:t xml:space="preserve">) enquanto acusa </w:t>
      </w:r>
      <w:r>
        <w:t xml:space="preserve">«os técnicos»</w:t>
      </w:r>
      <w:r>
        <w:t xml:space="preserve"> de negligência — e conseguiu uma chamada telefónica que ficou sem registo do nosso lado (F6). É a manobra mais inteligente que fez até hoje.</w:t>
      </w:r>
    </w:p>
    <w:p>
      <w:pPr>
        <w:spacing w:after="120"/>
        <w:jc w:val="both"/>
      </w:pPr>
      <w:r>
        <w:rPr>
          <w:b/>
          <w:bCs/>
        </w:rPr>
        <w:t xml:space="preserve">RM-F5 — A âncora NUIPC.</w:t>
      </w:r>
      <w:r>
        <w:t xml:space="preserve"> A simples existência de um inquérito (teor desconhecido) permite-lhe encenar gravidade (</w:t>
      </w:r>
      <w:r>
        <w:t xml:space="preserve">«será aditado ao processo-crime»</w:t>
      </w:r>
      <w:r>
        <w:t xml:space="preserve">) e cria incerteza do nosso lado. Provavelmente o inquérito visa o conflito com a ex-mulher, não a DGAV — mas não se pode afirmar.</w:t>
      </w:r>
    </w:p>
    <w:p>
      <w:pPr>
        <w:spacing w:after="120"/>
        <w:jc w:val="both"/>
      </w:pPr>
      <w:r>
        <w:rPr>
          <w:b/>
          <w:bCs/>
        </w:rPr>
        <w:t xml:space="preserve">RM-F6 — Aprendeu a juntar documentos.</w:t>
      </w:r>
      <w:r>
        <w:t xml:space="preserve"> A carta de 24-07 foi a primeira instruída com prova (cadernetas). Saiu-lhe mal (ver RM-W1), mas indica evolução de método — as próximas cartas virão mais bem armadas.</w:t>
      </w:r>
    </w:p>
    <w:p>
      <w:pPr>
        <w:pStyle w:val="Heading3"/>
        <w:spacing w:after="120" w:before="240"/>
      </w:pPr>
      <w:r>
        <w:t xml:space="preserve">6.2 Pontos fracos (do mais para o menos destrutivo)</w:t>
      </w:r>
    </w:p>
    <w:p>
      <w:pPr>
        <w:spacing w:after="120"/>
        <w:jc w:val="both"/>
      </w:pPr>
      <w:r>
        <w:rPr>
          <w:b/>
          <w:bCs/>
        </w:rPr>
        <w:t xml:space="preserve">RM-W1 — A contradição título/compropriedade, agora tri-documentada.</w:t>
      </w:r>
      <w:r>
        <w:t xml:space="preserve"> Junta cadernetas para provar </w:t>
      </w:r>
      <w:r>
        <w:t xml:space="preserve">«propriedade plena 1/1»</w:t>
      </w:r>
      <w:r>
        <w:t xml:space="preserve"> e invoca na mesma carta o art. 1405.º CC (</w:t>
      </w:r>
      <w:r>
        <w:t xml:space="preserve">«bem em litígio/compropriedade, como sobejamente sabem»</w:t>
      </w:r>
      <w:r>
        <w:t xml:space="preserve">). E os documentos que </w:t>
      </w:r>
      <w:r>
        <w:rPr>
          <w:b/>
          <w:bCs/>
        </w:rPr>
        <w:t xml:space="preserve">ele</w:t>
      </w:r>
      <w:r>
        <w:t xml:space="preserve"> juntou remetem para a descrição predial 0685 — que regista a aquisição </w:t>
      </w:r>
      <w:r>
        <w:rPr>
          <w:b/>
          <w:bCs/>
        </w:rPr>
        <w:t xml:space="preserve">por ambos</w:t>
      </w:r>
      <w:r>
        <w:t xml:space="preserve">. Não há reparação possível: qualquer instância que confronte os três documentos conclui que ele afirmou uma titularidade que o registo desmente.</w:t>
      </w:r>
    </w:p>
    <w:p>
      <w:pPr>
        <w:spacing w:after="120"/>
        <w:jc w:val="both"/>
      </w:pPr>
      <w:r>
        <w:rPr>
          <w:b/>
          <w:bCs/>
        </w:rPr>
        <w:t xml:space="preserve">RM-W2 — A tese Acinom contra os próprios atos.</w:t>
      </w:r>
      <w:r>
        <w:t xml:space="preserve"> </w:t>
      </w:r>
      <w:r>
        <w:t xml:space="preserve">«O registo pertencia em exclusivo à Acinom Lda.»</w:t>
      </w:r>
      <w:r>
        <w:t xml:space="preserve"> contradiz: o registo (pessoal, art. 3.º/11), a cessação que </w:t>
      </w:r>
      <w:r>
        <w:rPr>
          <w:b/>
          <w:bCs/>
        </w:rPr>
        <w:t xml:space="preserve">ele</w:t>
      </w:r>
      <w:r>
        <w:t xml:space="preserve"> assinou em nome próprio, e vinte anos de documentos. Se insistir, a tese vira-se contra ele (atividade de uma sociedade sob registo pessoal = irregularidade dele).</w:t>
      </w:r>
    </w:p>
    <w:p>
      <w:pPr>
        <w:spacing w:after="120"/>
        <w:jc w:val="both"/>
      </w:pPr>
      <w:r>
        <w:rPr>
          <w:b/>
          <w:bCs/>
        </w:rPr>
        <w:t xml:space="preserve">RM-W3 — As confissões incidentais.</w:t>
      </w:r>
      <w:r>
        <w:t xml:space="preserve"> </w:t>
      </w:r>
      <w:r>
        <w:t xml:space="preserve">«A grafia e assinatura são perfeitamente perceptíveis»</w:t>
      </w:r>
      <w:r>
        <w:t xml:space="preserve"> (mata a ocultação); </w:t>
      </w:r>
      <w:r>
        <w:t xml:space="preserve">«cessei em 2022»</w:t>
      </w:r>
      <w:r>
        <w:t xml:space="preserve"> + comunicação em 2026 (confessa o 3.º-F); a reserva contraordenacional simétrica da Informação 105506/26 está armada precisamente para isto.</w:t>
      </w:r>
    </w:p>
    <w:p>
      <w:pPr>
        <w:spacing w:after="120"/>
        <w:jc w:val="both"/>
      </w:pPr>
      <w:r>
        <w:rPr>
          <w:b/>
          <w:bCs/>
        </w:rPr>
        <w:t xml:space="preserve">RM-W4 — A substância nunca contestada.</w:t>
      </w:r>
      <w:r>
        <w:t xml:space="preserve"> Em nove meses de cartas, nunca atacou os factos nucleares: três verificações independentes sem maus-tratos, correções cumpridas, animais identificados e conferidos no SIAC. Toda a guerra dele é adjetiva — e as instâncias externas leem primeiro a substância.</w:t>
      </w:r>
    </w:p>
    <w:p>
      <w:pPr>
        <w:spacing w:after="120"/>
        <w:jc w:val="both"/>
      </w:pPr>
      <w:r>
        <w:rPr>
          <w:b/>
          <w:bCs/>
        </w:rPr>
        <w:t xml:space="preserve">RM-W5 — Extemporaneidades e distorções verificáveis.</w:t>
      </w:r>
      <w:r>
        <w:t xml:space="preserve"> </w:t>
      </w:r>
      <w:r>
        <w:t xml:space="preserve">«Resposta extemporânea»</w:t>
      </w:r>
      <w:r>
        <w:t xml:space="preserve"> (falso — datas documentadas); </w:t>
      </w:r>
      <w:r>
        <w:t xml:space="preserve">«18 canídeos encontrados pelo SEPNA em maio de 2026»</w:t>
      </w:r>
      <w:r>
        <w:t xml:space="preserve"> (foi em 12-03, pela GNR); </w:t>
      </w:r>
      <w:r>
        <w:t xml:space="preserve">«efeitos retroativos»</w:t>
      </w:r>
      <w:r>
        <w:t xml:space="preserve"> (nunca escritos por ninguém); </w:t>
      </w:r>
      <w:r>
        <w:t xml:space="preserve">«4 anos de inação da DGAV»</w:t>
      </w:r>
      <w:r>
        <w:t xml:space="preserve"> (competente há um ano). Cada distorção documentável mina a credibilidade dele na sede seguinte.</w:t>
      </w:r>
    </w:p>
    <w:p>
      <w:pPr>
        <w:spacing w:after="120"/>
        <w:jc w:val="both"/>
      </w:pPr>
      <w:r>
        <w:rPr>
          <w:b/>
          <w:bCs/>
        </w:rPr>
        <w:t xml:space="preserve">RM-W6 — Anexos preparados a 14-07 para «responder» a um ofício de 23-07.</w:t>
      </w:r>
      <w:r>
        <w:t xml:space="preserve"> As cadernetas foram emitidas dez dias antes da decisão que diz contestar — a escalada estava pré-fabricada, independente do conteúdo da resposta. Útil para demonstrar má-fé processual a quem aprecie.</w:t>
      </w:r>
    </w:p>
    <w:p>
      <w:pPr>
        <w:spacing w:after="120"/>
        <w:jc w:val="both"/>
      </w:pPr>
      <w:r>
        <w:rPr>
          <w:b/>
          <w:bCs/>
        </w:rPr>
        <w:t xml:space="preserve">RM-W7 — A acumulação de imputações graves a funcionários identificáveis.</w:t>
      </w:r>
      <w:r>
        <w:t xml:space="preserve"> </w:t>
      </w:r>
      <w:r>
        <w:t xml:space="preserve">«Conivência, prevaricação»</w:t>
      </w:r>
      <w:r>
        <w:t xml:space="preserve">, </w:t>
      </w:r>
      <w:r>
        <w:t xml:space="preserve">«erros crassos»</w:t>
      </w:r>
      <w:r>
        <w:t xml:space="preserve">, </w:t>
      </w:r>
      <w:r>
        <w:t xml:space="preserve">«responsabilização criminal dos intervenientes»</w:t>
      </w:r>
      <w:r>
        <w:t xml:space="preserve"> — cada reiteração pós-decisão externa que fixe os factos converte convicção em dolo demonstrável (secção 9). Ele está a escrever, carta a carta, o dossier da eventual queixa contra si próprio.</w:t>
      </w:r>
    </w:p>
    <w:p>
      <w:pPr>
        <w:pBdr>
          <w:bottom w:val="single" w:color="999999" w:sz="6"/>
        </w:pBdr>
        <w:spacing w:after="160"/>
      </w:pPr>
    </w:p>
    <w:p>
      <w:pPr>
        <w:pStyle w:val="Heading2"/>
        <w:spacing w:after="120" w:before="240"/>
      </w:pPr>
      <w:r>
        <w:t xml:space="preserve">7. Análise pessoal — Rui André Vidal</w:t>
      </w:r>
    </w:p>
    <w:p>
      <w:pPr>
        <w:pStyle w:val="Heading3"/>
        <w:spacing w:after="120" w:before="240"/>
      </w:pPr>
      <w:r>
        <w:t xml:space="preserve">7.1 Exposições próprias, graduadas</w:t>
      </w:r>
    </w:p>
    <w:p>
      <w:pPr>
        <w:spacing w:after="120"/>
        <w:jc w:val="both"/>
      </w:pPr>
      <w:r>
        <w:rPr>
          <w:b/>
          <w:bCs/>
        </w:rPr>
        <w:t xml:space="preserve">P1 — Omnipresença autoral — ALTA em risco bruto, LARGAMENTE MITIGADA em risco líquido.</w:t>
      </w:r>
      <w:r>
        <w:t xml:space="preserve"> Todas as informações do processo têm a tua assinatura; executaste materialmente as rasuras; solicitaste a taxa a 15-07. Num cenário hostil, és o rosto único do processo. </w:t>
      </w:r>
      <w:r>
        <w:rPr>
          <w:b/>
          <w:bCs/>
        </w:rPr>
        <w:t xml:space="preserve">Mas</w:t>
      </w:r>
      <w:r>
        <w:t xml:space="preserve"> o desenho de proteção construído em julho funcionou e está agora documentado: (i) os dois despachos de 23-07 assumem superiormente a tramitação — </w:t>
      </w:r>
      <w:r>
        <w:t xml:space="preserve">«Concordo, de acordo com os pressupostos elencados»</w:t>
      </w:r>
      <w:r>
        <w:t xml:space="preserve"> transfere a decisão para quem tinha competência (com efeitos retroativos, art. 164.º CPA); (ii) o impedimento quanto à decisão do expurgo foi </w:t>
      </w:r>
      <w:r>
        <w:rPr>
          <w:b/>
          <w:bCs/>
        </w:rPr>
        <w:t xml:space="preserve">auto-suscitado por escrito</w:t>
      </w:r>
      <w:r>
        <w:t xml:space="preserve"> (ponto 6 da 109085/26) e a decisão remetida à consideração superior; (iii) a reserva dos </w:t>
      </w:r>
      <w:r>
        <w:t xml:space="preserve">«meios correntes»</w:t>
      </w:r>
      <w:r>
        <w:t xml:space="preserve"> (ponto 3.c) desloca o defeito técnico das rasuras da negligência pessoal para a limitação declarada dos serviços; (iv) a vistoria de 21-07 correu por </w:t>
      </w:r>
      <w:r>
        <w:rPr>
          <w:b/>
          <w:bCs/>
        </w:rPr>
        <w:t xml:space="preserve">outros técnicos</w:t>
      </w:r>
      <w:r>
        <w:t xml:space="preserve">; (v) a frase final da 109154/26 (não intervenção na apreciação da reação dele) está escrita. Resíduo real: és o autor dos documentos que ele quer </w:t>
      </w:r>
      <w:r>
        <w:t xml:space="preserve">«apreender»</w:t>
      </w:r>
      <w:r>
        <w:t xml:space="preserve"> — mas os originais estão intactos e as rasuras incidiram sobre cópias, o que esvazia a perícia anunciada.</w:t>
      </w:r>
    </w:p>
    <w:p>
      <w:pPr>
        <w:spacing w:after="120"/>
        <w:jc w:val="both"/>
      </w:pPr>
      <w:r>
        <w:rPr>
          <w:b/>
          <w:bCs/>
        </w:rPr>
        <w:t xml:space="preserve">P2 — Visado direto nas ameaças criminais e civis — MÉDIA, ativa.</w:t>
      </w:r>
      <w:r>
        <w:t xml:space="preserve"> Estás em cópia nas réplicas; as cartas anunciam </w:t>
      </w:r>
      <w:r>
        <w:t xml:space="preserve">«responsabilização criminal e civil… aos seus técnicos»</w:t>
      </w:r>
      <w:r>
        <w:t xml:space="preserve">. Ação pendente desde 17-07: </w:t>
      </w:r>
      <w:r>
        <w:rPr>
          <w:b/>
          <w:bCs/>
        </w:rPr>
        <w:t xml:space="preserve">comunicação formal à hierarquia</w:t>
      </w:r>
      <w:r>
        <w:t xml:space="preserve"> invocando o dever de proteção (registo das imputações + medidas adequadas; enquadramento cível na Lei 67/2007 — a responsabilidade por atos funcionais com culpa leve é do Estado, não do titular do órgão). Fazê-la agora, curta e factual. Complemento: o </w:t>
      </w:r>
      <w:r>
        <w:rPr>
          <w:b/>
          <w:bCs/>
        </w:rPr>
        <w:t xml:space="preserve">livro de imputações</w:t>
      </w:r>
      <w:r>
        <w:t xml:space="preserve"> (catálogo cronológico: data, documento, frase exata, destinatários, resposta institucional) — uma hora de trabalho que instrui qualquer defesa ou queixa futura.</w:t>
      </w:r>
    </w:p>
    <w:p>
      <w:pPr>
        <w:spacing w:after="120"/>
        <w:jc w:val="both"/>
      </w:pPr>
      <w:r>
        <w:rPr>
          <w:b/>
          <w:bCs/>
        </w:rPr>
        <w:t xml:space="preserve">P3 — Cadeia de custódia das fotografias de 13-04 — MÉDIA-BAIXA.</w:t>
      </w:r>
      <w:r>
        <w:t xml:space="preserve"> Se ainda estão no telemóvel pessoal sem nota de junção, regularizar: transferência para o processo, nota datada, EXIF preservado. Depois da junção, apagar do dispositivo pessoal (minimização).</w:t>
      </w:r>
    </w:p>
    <w:p>
      <w:pPr>
        <w:spacing w:after="120"/>
        <w:jc w:val="both"/>
      </w:pPr>
      <w:r>
        <w:rPr>
          <w:b/>
          <w:bCs/>
        </w:rPr>
        <w:t xml:space="preserve">P4 — Rasto de ferramentas pessoais — BAIXA.</w:t>
      </w:r>
      <w:r>
        <w:t xml:space="preserve"> Artefactos CamScanner em versões de trabalho: confirmar que a versão expedida seguiu limpa; migrar digitalizações para meios do serviço.</w:t>
      </w:r>
    </w:p>
    <w:p>
      <w:pPr>
        <w:spacing w:after="120"/>
        <w:jc w:val="both"/>
      </w:pPr>
      <w:r>
        <w:rPr>
          <w:b/>
          <w:bCs/>
        </w:rPr>
        <w:t xml:space="preserve">P5 — Sobre-exposição por competência — BAIXA, comportamental.</w:t>
      </w:r>
      <w:r>
        <w:t xml:space="preserve"> Sabes mais do processo do que qualquer outro interveniente, e a tentação permanente é responder a tudo, depressa e por inteiro. A disciplina exercida desde 15-07 (encaminhar sem analisar nos emails; reservar a análise para os autos; não responder ao que é dirigido à Diretora-Geral) é a mitigação — mantê-la custa-te mais do que qualquer outra medida deste guia, e vale mais do que quase todas.</w:t>
      </w:r>
    </w:p>
    <w:p>
      <w:pPr>
        <w:pStyle w:val="Heading3"/>
        <w:spacing w:after="120" w:before="240"/>
      </w:pPr>
      <w:r>
        <w:t xml:space="preserve">7.2 Ativos pessoais (o que joga a teu favor se tudo descarrilar)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O paper trail é invulgarmente bom.</w:t>
      </w:r>
      <w:r>
        <w:t xml:space="preserve"> Informações numeradas com análise facto-a-fonte, propostas explícitas, reservas escritas, pedidos de despacho — se um inquérito ler o processo, a figura do técnico que emerge é a de quem propôs, reservou, suscitou impedimento e pediu ratificação. É o oposto do perfil de quem encobre;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O impedimento auto-suscitado</w:t>
      </w:r>
      <w:r>
        <w:t xml:space="preserve"> (raro na prática administrativa) e a </w:t>
      </w:r>
      <w:r>
        <w:rPr>
          <w:b/>
          <w:bCs/>
        </w:rPr>
        <w:t xml:space="preserve">antecipação escrita da queixa à CADA</w:t>
      </w:r>
      <w:r>
        <w:t xml:space="preserve"> (ponto 7 da 109085/26: </w:t>
      </w:r>
      <w:r>
        <w:t xml:space="preserve">«é expectável que o requerente reaja… o acompanhamento deve ser enquadrado por responsável distinto»</w:t>
      </w:r>
      <w:r>
        <w:t xml:space="preserve">) demonstram boa-fé objetiva — são exatamente as peças que se mostram a um inspetor;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As três verificações externas</w:t>
      </w:r>
      <w:r>
        <w:t xml:space="preserve"> (SMV+GNR out-2025; GNR 12-03; DGAV+NPA 13-04) e a </w:t>
      </w:r>
      <w:r>
        <w:rPr>
          <w:b/>
          <w:bCs/>
        </w:rPr>
        <w:t xml:space="preserve">quarta</w:t>
      </w:r>
      <w:r>
        <w:t xml:space="preserve"> (21-07, por outros técnicos) despersonalizam as conclusões de substância: nenhum facto nuclear depende só de ti;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A simetria da reserva contraordenacional</w:t>
      </w:r>
      <w:r>
        <w:t xml:space="preserve"> (quanto a </w:t>
      </w:r>
      <w:r>
        <w:t xml:space="preserve">«qualquer das partes»</w:t>
      </w:r>
      <w:r>
        <w:t xml:space="preserve">) desarma a acusação de favorecimento em ambas as direções.</w:t>
      </w:r>
    </w:p>
    <w:p>
      <w:pPr>
        <w:pBdr>
          <w:bottom w:val="single" w:color="999999" w:sz="6"/>
        </w:pBdr>
        <w:spacing w:after="160"/>
      </w:pPr>
    </w:p>
    <w:p>
      <w:pPr>
        <w:pStyle w:val="Heading2"/>
        <w:spacing w:after="120" w:before="240"/>
      </w:pPr>
      <w:r>
        <w:t xml:space="preserve">8. Frentes abertas e 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Frente</w:t>
            </w:r>
          </w:p>
        </w:tc>
        <w:tc>
          <w:tcPr>
            <w:tcW w:type="dxa" w:w="2340"/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2340"/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Cenário provável</w:t>
            </w:r>
          </w:p>
        </w:tc>
        <w:tc>
          <w:tcPr>
            <w:tcW w:type="dxa" w:w="2340"/>
            <w:shd w:fill="EEEE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Conduta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CADA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Queixa dele pendente + aditamento anunciado (24-07)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Notificação da DGAV para pronúncia (10 dias); relatório em ~40 dias; provável validação do deferimento parcial (art. 6.º/8 é a via canónica), com eventual reparo formal ao prazo do 1.º pedido (F4). Parecer </w:t>
            </w:r>
            <w:r>
              <w:rPr>
                <w:b/>
                <w:bCs/>
                <w:sz w:val="18"/>
                <w:szCs w:val="18"/>
              </w:rPr>
              <w:t xml:space="preserve">não vinculativo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Pronúncia preparada pelo gestor/DAJA com os elementos factuais do técnico: cronologia documentada, fundamentos, log LADA. Tom neutro, zero adjetivos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MP / NUIPC 169/26.4GBFND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Teor desconhecido; ele anuncia aditamentos e apreensão de originais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Na parte DGAV: nada indicia crime de funcionário; um inquérito que leia o processo encontra tramitação documentada. Requisição de documentos é possível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 chegar requisição: cumprir integralmente e de imediato; os originais estão intactos (registar formalmente esta nota no processo </w:t>
            </w:r>
            <w:r>
              <w:rPr>
                <w:b/>
                <w:bCs/>
                <w:sz w:val="18"/>
                <w:szCs w:val="18"/>
              </w:rPr>
              <w:t xml:space="preserve">já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Diretora-Geral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Carta de 24-07 dirigida a ela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Gabinete pedirá elementos aos serviços; eventual resposta única e definitiva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Elementos factuais fornecidos pelos serviços; ponderar (decisão superior) o fecho ao abrigo do art. 13.º/2 CPA com ressalva de factos novos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GNR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OFI00069/26 sem resposta (F5)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Expedir a minuta pronta esta semana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Frente cível dele contra a Susana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Anunciada (1405.º CC)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Providência cautelar ou ação de divisão/uso da coisa comum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Não vincula a DGAV; só decisões judiciais produzem efeitos no registo B642 (facto superveniente, art. 3.º-G se aplicável)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OMV</w:t>
            </w:r>
            <w:r>
              <w:rPr>
                <w:sz w:val="18"/>
                <w:szCs w:val="18"/>
              </w:rPr>
              <w:t xml:space="preserve"> (antecipada pela Diretora)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Não concretizada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Queixa contra técnicos/MV assistente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Defesa pronta: quatro verificações, relatório do MV assistente arquivado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CNPD</w:t>
            </w:r>
            <w:r>
              <w:rPr>
                <w:sz w:val="18"/>
                <w:szCs w:val="18"/>
              </w:rPr>
              <w:t xml:space="preserve"> (teórica)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Só se a Susana reclamar das rasuras imperfeitas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Mitigações de F2; decisão superior sobre refazer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Vistoria 21-07 — pendência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Registos mensais a enviar por email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Confirmar receção e averbar ao P.4120/26</w:t>
            </w:r>
          </w:p>
        </w:tc>
      </w:tr>
    </w:tbl>
    <w:p>
      <w:pPr>
        <w:spacing w:after="120"/>
      </w:pPr>
    </w:p>
    <w:p>
      <w:pPr>
        <w:pBdr>
          <w:bottom w:val="single" w:color="999999" w:sz="6"/>
        </w:pBdr>
        <w:spacing w:after="160"/>
      </w:pPr>
    </w:p>
    <w:p>
      <w:pPr>
        <w:pStyle w:val="Heading2"/>
        <w:spacing w:after="120" w:before="240"/>
      </w:pPr>
      <w:r>
        <w:t xml:space="preserve">9. Estratégia consolidada — incluindo a questão do contra-ataque</w:t>
      </w:r>
    </w:p>
    <w:p>
      <w:pPr>
        <w:pStyle w:val="Heading3"/>
        <w:spacing w:after="120" w:before="240"/>
      </w:pPr>
      <w:r>
        <w:t xml:space="preserve">9.1 A linha (inalterada e reforçada pelos despachos de 23-07)</w:t>
      </w:r>
    </w:p>
    <w:p>
      <w:pPr>
        <w:spacing w:after="120"/>
        <w:jc w:val="both"/>
      </w:pPr>
      <w:r>
        <w:rPr>
          <w:b/>
          <w:bCs/>
        </w:rPr>
        <w:t xml:space="preserve">Monotonia correta.</w:t>
      </w:r>
      <w:r>
        <w:t xml:space="preserve"> Cada distorção respondida com um facto datado; cada ameaça arquivada; zero reação pessoal; nada de fundo enviado a quem já tem tudo respondido. O tempo joga contra quem precisa de escalar para existir — e ele já só escala.</w:t>
      </w:r>
    </w:p>
    <w:p>
      <w:pPr>
        <w:pStyle w:val="Heading3"/>
        <w:spacing w:after="120" w:before="240"/>
      </w:pPr>
      <w:r>
        <w:t xml:space="preserve">9.2 Contra-ataque: viabilidade e timing (síntese da análise de 24-07, que se mantém)</w:t>
      </w:r>
    </w:p>
    <w:p>
      <w:pPr>
        <w:spacing w:after="120"/>
        <w:jc w:val="both"/>
      </w:pPr>
      <w:r>
        <w:t xml:space="preserve">Os tipos disponíveis — difamação agravada (180.º + 184.º CP, crime semipúblico: queixa do visado, promoção do MP, agravação de metade por a vítima ser funcionário no exercício), ofensa a organismo (187.º CP, queixa institucional da DGAV) e denúncia caluniosa (365.º CP) — partilham um obstáculo presente: </w:t>
      </w:r>
      <w:r>
        <w:rPr>
          <w:b/>
          <w:bCs/>
        </w:rPr>
        <w:t xml:space="preserve">enquanto ele escreve a autoridades no exercício do direito de queixa, a jurisprudência protege-o</w:t>
      </w:r>
      <w:r>
        <w:t xml:space="preserve">, salvo prova de que conhece a falsidade do que imputa (TRC 09-10-2024, proc. 573/17.9T9CTB.C2: a fronteira é a boa-fé; </w:t>
      </w:r>
      <w:r>
        <w:t xml:space="preserve">«não existe direito de denúncia quando o denunciante conhece a falsidade dos factos imputados»</w:t>
      </w:r>
      <w:r>
        <w:t xml:space="preserve">). Essa prova constrói-se com </w:t>
      </w:r>
      <w:r>
        <w:rPr>
          <w:b/>
          <w:bCs/>
        </w:rPr>
        <w:t xml:space="preserve">decisões externas que fixem os factos</w:t>
      </w:r>
      <w:r>
        <w:t xml:space="preserve"> — parecer da CADA, arquivamento do inquérito, respostas definitivas — ignoradas e seguidas de reiteração. Cada decisão que ele atropelar converte convicção alegável em dolo demonstrável.</w:t>
      </w:r>
    </w:p>
    <w:p>
      <w:pPr>
        <w:spacing w:after="120"/>
        <w:jc w:val="both"/>
      </w:pPr>
      <w:r>
        <w:rPr>
          <w:b/>
          <w:bCs/>
        </w:rPr>
        <w:t xml:space="preserve">Por que não agora:</w:t>
      </w:r>
      <w:r>
        <w:t xml:space="preserve"> (i) ofereceria a narrativa da perseguição e transferiria o conflito para um terreno de anos; (ii) o técnico queixoso ficaria impedido em tudo o que resta do processo; (iii) </w:t>
      </w:r>
      <w:r>
        <w:rPr>
          <w:b/>
          <w:bCs/>
        </w:rPr>
        <w:t xml:space="preserve">nada se perde por esperar</w:t>
      </w:r>
      <w:r>
        <w:t xml:space="preserve"> — o prazo de queixa (6 meses, art. 115.º CP) renova-se a cada carta nova.</w:t>
      </w:r>
    </w:p>
    <w:p>
      <w:pPr>
        <w:spacing w:after="120"/>
        <w:jc w:val="both"/>
      </w:pPr>
      <w:r>
        <w:rPr>
          <w:b/>
          <w:bCs/>
        </w:rPr>
        <w:t xml:space="preserve">Gatilhos objetivos para reavaliar:</w:t>
      </w:r>
      <w:r>
        <w:t xml:space="preserve"> parecer da CADA favorável seguido de reiteração das mesmas imputações; arquivamento do NUIPC seguido de re-denúncia; imputação nominal </w:t>
      </w:r>
      <w:r>
        <w:rPr>
          <w:b/>
          <w:bCs/>
        </w:rPr>
        <w:t xml:space="preserve">fora</w:t>
      </w:r>
      <w:r>
        <w:t xml:space="preserve"> dos canais de queixa (redes sociais, imprensa, terceiros); imputação de facto concreto novo e demonstravelmente falso. Verificado qualquer um: queixa pessoal com advogado próprio (nunca pelos serviços) e/ou institucional (decisão da DGAV), instruída com o livro de imputações.</w:t>
      </w:r>
    </w:p>
    <w:p>
      <w:pPr>
        <w:pStyle w:val="Heading3"/>
        <w:spacing w:after="120" w:before="240"/>
      </w:pPr>
      <w:r>
        <w:t xml:space="preserve">9.3 Pendências operacionais (checklist de fecho — atualizada a 27-07)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1. </w:t>
      </w:r>
      <w:r>
        <w:t xml:space="preserve">~~Despacho da Informação da MCP~~ — </w:t>
      </w:r>
      <w:r>
        <w:rPr>
          <w:b/>
          <w:bCs/>
        </w:rPr>
        <w:t xml:space="preserve">FEITO</w:t>
      </w:r>
      <w:r>
        <w:t xml:space="preserve"> (23-07, 23:34);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2. </w:t>
      </w:r>
      <w:r>
        <w:t xml:space="preserve">~~Despacho da Informação LADA + expedição da decisão~~ — </w:t>
      </w:r>
      <w:r>
        <w:rPr>
          <w:b/>
          <w:bCs/>
        </w:rPr>
        <w:t xml:space="preserve">FEITO</w:t>
      </w:r>
      <w:r>
        <w:t xml:space="preserve"> (23-07, 23:47; ofício 109157/26-S);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3. </w:t>
      </w:r>
      <w:r>
        <w:t xml:space="preserve">~~Notificação da interessada antes do terceiro~~ — </w:t>
      </w:r>
      <w:r>
        <w:rPr>
          <w:b/>
          <w:bCs/>
        </w:rPr>
        <w:t xml:space="preserve">FEITO</w:t>
      </w:r>
      <w:r>
        <w:t xml:space="preserve"> (ofício 106881/26-E, datado 17-07);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4. </w:t>
      </w:r>
      <w:r>
        <w:t xml:space="preserve">~~Vistoria de seguimento por técnico distinto~~ — </w:t>
      </w:r>
      <w:r>
        <w:rPr>
          <w:b/>
          <w:bCs/>
        </w:rPr>
        <w:t xml:space="preserve">FEITO</w:t>
      </w:r>
      <w:r>
        <w:t xml:space="preserve"> (21-07);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5. </w:t>
      </w:r>
      <w:r>
        <w:rPr>
          <w:b/>
          <w:bCs/>
        </w:rPr>
        <w:t xml:space="preserve">Resposta à GNR</w:t>
      </w:r>
      <w:r>
        <w:t xml:space="preserve"> — minuta pronta, expedir;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6. </w:t>
      </w:r>
      <w:r>
        <w:rPr>
          <w:b/>
          <w:bCs/>
        </w:rPr>
        <w:t xml:space="preserve">Memo da chamada de 13-07</w:t>
      </w:r>
      <w:r>
        <w:t xml:space="preserve"> (pela Diretora) — pendente;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7. </w:t>
      </w:r>
      <w:r>
        <w:rPr>
          <w:b/>
          <w:bCs/>
        </w:rPr>
        <w:t xml:space="preserve">Comunicação de proteção à hierarquia</w:t>
      </w:r>
      <w:r>
        <w:t xml:space="preserve"> + livro de imputações — pendente;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8. </w:t>
      </w:r>
      <w:r>
        <w:rPr>
          <w:b/>
          <w:bCs/>
        </w:rPr>
        <w:t xml:space="preserve">Log LADA formal</w:t>
      </w:r>
      <w:r>
        <w:t xml:space="preserve"> (documento a documento, data e âmbito de expurgo) — criar/atualizar com a expedição de 23-07;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9. </w:t>
      </w:r>
      <w:r>
        <w:rPr>
          <w:b/>
          <w:bCs/>
        </w:rPr>
        <w:t xml:space="preserve">Nota de originais intactos</w:t>
      </w:r>
      <w:r>
        <w:t xml:space="preserve"> no processo — redigir (uma linha, esvazia a </w:t>
      </w:r>
      <w:r>
        <w:t xml:space="preserve">«apreensão»</w:t>
      </w:r>
      <w:r>
        <w:t xml:space="preserve">);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10. </w:t>
      </w:r>
      <w:r>
        <w:rPr>
          <w:b/>
          <w:bCs/>
        </w:rPr>
        <w:t xml:space="preserve">Fotos de 13-04</w:t>
      </w:r>
      <w:r>
        <w:t xml:space="preserve"> — nota de junção, se ainda não feita;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11. </w:t>
      </w:r>
      <w:r>
        <w:rPr>
          <w:b/>
          <w:bCs/>
        </w:rPr>
        <w:t xml:space="preserve">Cruzamento SIG</w:t>
      </w:r>
      <w:r>
        <w:t xml:space="preserve"> (coordenadas AT × georreferenciação RS 24/26) + nota de fecho da Parte I — minutos;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12. </w:t>
      </w:r>
      <w:r>
        <w:rPr>
          <w:b/>
          <w:bCs/>
        </w:rPr>
        <w:t xml:space="preserve">Registos mensais da vistoria de 21-07</w:t>
      </w:r>
      <w:r>
        <w:t xml:space="preserve"> — confirmar receção;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13. </w:t>
      </w:r>
      <w:r>
        <w:rPr>
          <w:b/>
          <w:bCs/>
        </w:rPr>
        <w:t xml:space="preserve">Data de expedição do 106881/26-E</w:t>
      </w:r>
      <w:r>
        <w:t xml:space="preserve"> — confirmar e registar (F3);</w:t>
      </w:r>
    </w:p>
    <w:p>
      <w:pPr>
        <w:spacing w:after="60"/>
        <w:ind w:left="431" w:hanging="431"/>
      </w:pPr>
      <w:r>
        <w:rPr>
          <w:b w:val="false"/>
          <w:bCs w:val="false"/>
        </w:rPr>
        <w:t xml:space="preserve">14. </w:t>
      </w:r>
      <w:r>
        <w:rPr>
          <w:b/>
          <w:bCs/>
        </w:rPr>
        <w:t xml:space="preserve">Lista pública</w:t>
      </w:r>
      <w:r>
        <w:t xml:space="preserve"> — confirmar inclusão do B642 na próxima atualização.</w:t>
      </w:r>
    </w:p>
    <w:p>
      <w:pPr>
        <w:pBdr>
          <w:bottom w:val="single" w:color="999999" w:sz="6"/>
        </w:pBdr>
        <w:spacing w:after="160"/>
      </w:pPr>
    </w:p>
    <w:p>
      <w:pPr>
        <w:pStyle w:val="Heading2"/>
        <w:spacing w:after="120" w:before="240"/>
      </w:pPr>
      <w:r>
        <w:t xml:space="preserve">10. Jurisprudência e referências, com a aplicação explicada</w:t>
      </w:r>
    </w:p>
    <w:p>
      <w:pPr>
        <w:pStyle w:val="Heading3"/>
        <w:spacing w:after="120" w:before="240"/>
      </w:pPr>
      <w:r>
        <w:t xml:space="preserve">10.1 Denúncia caluniosa e direito de queixa (para o timing do contra-ataque)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TRC 09-10-2024, proc. 573/17.9T9CTB.C2</w:t>
      </w:r>
      <w:r>
        <w:t xml:space="preserve"> — elementos do art. 365.º CP; a denúncia legítima distingue-se da caluniosa pela boa-fé; sem direito de denúncia quando o denunciante conhece a falsidade. </w:t>
      </w:r>
      <w:r>
        <w:rPr>
          <w:i/>
          <w:iCs/>
        </w:rPr>
        <w:t xml:space="preserve">Aplicação: é o travão ao contra-ataque imediato e o mapa da sua preparação.</w:t>
      </w:r>
      <w:r>
        <w:t xml:space="preserve"> </w:t>
      </w:r>
      <w:hyperlink w:history="1" r:id="rIdydcckvtdzlqxxwckjr35t">
        <w:r>
          <w:rPr>
            <w:rStyle w:val="Hyperlink"/>
          </w:rPr>
          <w:t xml:space="preserve">trc.pt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Art. 365.º CP</w:t>
      </w:r>
      <w:r>
        <w:t xml:space="preserve"> (texto) — </w:t>
      </w:r>
      <w:hyperlink w:history="1" r:id="rIdopev858es7c7ye6bmcx1h">
        <w:r>
          <w:rPr>
            <w:rStyle w:val="Hyperlink"/>
          </w:rPr>
          <w:t xml:space="preserve">informador.pt</w:t>
        </w:r>
      </w:hyperlink>
      <w:r>
        <w:t xml:space="preserve">; TRG 2018 sobre os elementos — </w:t>
      </w:r>
      <w:hyperlink w:history="1" r:id="rIdkg2kzweawdkzkgmp3kwl5">
        <w:r>
          <w:rPr>
            <w:rStyle w:val="Hyperlink"/>
          </w:rPr>
          <w:t xml:space="preserve">dgsi.pt</w:t>
        </w:r>
      </w:hyperlink>
    </w:p>
    <w:p>
      <w:pPr>
        <w:pStyle w:val="Heading3"/>
        <w:spacing w:after="120" w:before="240"/>
      </w:pPr>
      <w:r>
        <w:t xml:space="preserve">10.2 Matriz vs. registo predial (para o confronto documental)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STJ 18-03-2021</w:t>
      </w:r>
      <w:r>
        <w:t xml:space="preserve"> (ação de reivindicação): a caderneta predial é documento autêntico que </w:t>
      </w:r>
      <w:r>
        <w:rPr>
          <w:b/>
          <w:bCs/>
        </w:rPr>
        <w:t xml:space="preserve">não faz prova plena</w:t>
      </w:r>
      <w:r>
        <w:t xml:space="preserve"> do conteúdo (assenta em declaração do sujeito passivo); presunção de propriedade só do registo. </w:t>
      </w:r>
      <w:r>
        <w:rPr>
          <w:i/>
          <w:iCs/>
        </w:rPr>
        <w:t xml:space="preserve">Aplicação: demole as cadernetas «1/1» dele.</w:t>
      </w:r>
      <w:r>
        <w:t xml:space="preserve"> </w:t>
      </w:r>
      <w:hyperlink w:history="1" r:id="rId4di1dfgyhjsc6ntkacp1z">
        <w:r>
          <w:rPr>
            <w:rStyle w:val="Hyperlink"/>
          </w:rPr>
          <w:t xml:space="preserve">homepagejuridica.pt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STJ 02-03-2023</w:t>
      </w:r>
      <w:r>
        <w:t xml:space="preserve">: inscrições matriciais têm finalidade fiscal, sem virtualidade para atribuir propriedade; a presunção do art. 7.º CRegPredial é juris tantum e não cobre áreas/confrontações. </w:t>
      </w:r>
      <w:hyperlink w:history="1" r:id="rIdzevl0wioyqnk9iizgdssf">
        <w:r>
          <w:rPr>
            <w:rStyle w:val="Hyperlink"/>
          </w:rPr>
          <w:t xml:space="preserve">homepagejuridica.pt</w:t>
        </w:r>
      </w:hyperlink>
      <w:r>
        <w:t xml:space="preserve">; no mesmo sentido, TRP 2025 — </w:t>
      </w:r>
      <w:hyperlink w:history="1" r:id="rIdh4w-d3sf6gwkduwys1klr">
        <w:r>
          <w:rPr>
            <w:rStyle w:val="Hyperlink"/>
          </w:rPr>
          <w:t xml:space="preserve">jurisprudencia.pt</w:t>
        </w:r>
      </w:hyperlink>
    </w:p>
    <w:p>
      <w:pPr>
        <w:pStyle w:val="Heading3"/>
        <w:spacing w:after="120" w:before="240"/>
      </w:pPr>
      <w:r>
        <w:t xml:space="preserve">10.3 Comunhão de adquiridos e compropriedade (para a posição civil das partes)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Art. 1724.º/b CC</w:t>
      </w:r>
      <w:r>
        <w:t xml:space="preserve"> — presunção de comunicabilidade dos bens adquiridos a título oneroso na constância; ónus de prova em contrário sobre quem invoca bem próprio. </w:t>
      </w:r>
      <w:hyperlink w:history="1" r:id="rIdr2ycfzjiciwbf1awryugv">
        <w:r>
          <w:rPr>
            <w:rStyle w:val="Hyperlink"/>
          </w:rPr>
          <w:t xml:space="preserve">informador.pt</w:t>
        </w:r>
      </w:hyperlink>
      <w:r>
        <w:t xml:space="preserve">; TRC sobre o regime — </w:t>
      </w:r>
      <w:hyperlink w:history="1" r:id="rIdwcr0_w1w0ao3x9rgduiz-">
        <w:r>
          <w:rPr>
            <w:rStyle w:val="Hyperlink"/>
          </w:rPr>
          <w:t xml:space="preserve">trc.pt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Art. 1406.º CC</w:t>
      </w:r>
      <w:r>
        <w:t xml:space="preserve"> e </w:t>
      </w:r>
      <w:r>
        <w:rPr>
          <w:b/>
          <w:bCs/>
        </w:rPr>
        <w:t xml:space="preserve">STJ 2020, proc. 3001/15.0T8OER.L1.S1</w:t>
      </w:r>
      <w:r>
        <w:t xml:space="preserve"> — uso da coisa comum na falta de acordo; o uso por um comproprietário não constitui posse exclusiva. </w:t>
      </w:r>
      <w:r>
        <w:rPr>
          <w:i/>
          <w:iCs/>
        </w:rPr>
        <w:t xml:space="preserve">Aplicação: o litígio real deles é este, e é dos tribunais.</w:t>
      </w:r>
      <w:r>
        <w:t xml:space="preserve"> </w:t>
      </w:r>
      <w:hyperlink w:history="1" r:id="rIdoynpj5aslfjbm_md1ufk0">
        <w:r>
          <w:rPr>
            <w:rStyle w:val="Hyperlink"/>
          </w:rPr>
          <w:t xml:space="preserve">juris.stj.pt</w:t>
        </w:r>
      </w:hyperlink>
    </w:p>
    <w:p>
      <w:pPr>
        <w:pStyle w:val="Heading3"/>
        <w:spacing w:after="120" w:before="240"/>
      </w:pPr>
      <w:r>
        <w:t xml:space="preserve">10.4 Honra de funcionários e do serviço (para o dossier defensivo/ofensivo)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Arts. 180.º + 184.º + 132.º/2/l CP</w:t>
      </w:r>
      <w:r>
        <w:t xml:space="preserve"> — difamação agravada de metade contra funcionário no exercício/por causa das funções; crime semipúblico (queixa do visado, promoção do MP). </w:t>
      </w:r>
      <w:hyperlink w:history="1" r:id="rIdrp3vy77l4uawuu3qze4lf">
        <w:r>
          <w:rPr>
            <w:rStyle w:val="Hyperlink"/>
          </w:rPr>
          <w:t xml:space="preserve">TRC</w:t>
        </w:r>
      </w:hyperlink>
      <w:r>
        <w:t xml:space="preserve">; exemplo de condenação — </w:t>
      </w:r>
      <w:hyperlink w:history="1" r:id="rId6dgkaotcy4lsu4hxfmmo0">
        <w:r>
          <w:rPr>
            <w:rStyle w:val="Hyperlink"/>
          </w:rPr>
          <w:t xml:space="preserve">Comarca de Setúbal, proc. 271/22.1T9STB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Art. 187.º CP</w:t>
      </w:r>
      <w:r>
        <w:t xml:space="preserve"> — ofensa a organismo: propalação de factos falsos, sem fundamento de boa-fé, capazes de ofender a credibilidade do serviço. </w:t>
      </w:r>
      <w:r>
        <w:rPr>
          <w:i/>
          <w:iCs/>
        </w:rPr>
        <w:t xml:space="preserve">Aplicação: a via institucional, decisão da DGAV, não do técnico.</w:t>
      </w:r>
      <w:r>
        <w:t xml:space="preserve"> </w:t>
      </w:r>
      <w:hyperlink w:history="1" r:id="rIdcwmk9ine3-t1cqeucyyiv">
        <w:r>
          <w:rPr>
            <w:rStyle w:val="Hyperlink"/>
          </w:rPr>
          <w:t xml:space="preserve">Lexionário DRE</w:t>
        </w:r>
      </w:hyperlink>
      <w:r>
        <w:t xml:space="preserve">; </w:t>
      </w:r>
      <w:hyperlink w:history="1" r:id="rIdpsho7lsbofwsbyejlakvq">
        <w:r>
          <w:rPr>
            <w:rStyle w:val="Hyperlink"/>
          </w:rPr>
          <w:t xml:space="preserve">STJ</w:t>
        </w:r>
      </w:hyperlink>
    </w:p>
    <w:p>
      <w:pPr>
        <w:pStyle w:val="Heading3"/>
        <w:spacing w:after="120" w:before="240"/>
      </w:pPr>
      <w:r>
        <w:t xml:space="preserve">10.5 Procedimento administrativo (para F1 e para a arquitetura do processo)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Art. 164.º CPA</w:t>
      </w:r>
      <w:r>
        <w:t xml:space="preserve"> — a ratificação (tal como a reforma e a conversão) tem </w:t>
      </w:r>
      <w:r>
        <w:rPr>
          <w:b/>
          <w:bCs/>
        </w:rPr>
        <w:t xml:space="preserve">efeitos retroativos</w:t>
      </w:r>
      <w:r>
        <w:t xml:space="preserve"> ao momento da prática do ato ratificado, competindo ao órgão competente para o ato. </w:t>
      </w:r>
      <w:r>
        <w:rPr>
          <w:i/>
          <w:iCs/>
        </w:rPr>
        <w:t xml:space="preserve">Aplicação: sana juridicamente a janela 15→23-07 (F1).</w:t>
      </w:r>
      <w:r>
        <w:t xml:space="preserve"> </w:t>
      </w:r>
      <w:hyperlink w:history="1" r:id="rId_hdxuephsyaqeoku05qgl">
        <w:r>
          <w:rPr>
            <w:rStyle w:val="Hyperlink"/>
          </w:rPr>
          <w:t xml:space="preserve">CPA consolidado, DR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Art. 163.º/5 CPA</w:t>
      </w:r>
      <w:r>
        <w:t xml:space="preserve"> — aproveitamento do ato (impressos ICNF, F9). Mesma fonte.</w:t>
      </w:r>
    </w:p>
    <w:p>
      <w:pPr>
        <w:pStyle w:val="Heading3"/>
        <w:spacing w:after="120" w:before="240"/>
      </w:pPr>
      <w:r>
        <w:t xml:space="preserve">10.6 LADA (para a frente CADA)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Lei 26/2016</w:t>
      </w:r>
      <w:r>
        <w:t xml:space="preserve"> — arts. 3.º/1/b, 6.º/5, 6.º/8, 15.º, 16.º; pareceres da CADA não vinculativos; tramitação da queixa (pronúncia da entidade em 10 dias; relatório em 40). </w:t>
      </w:r>
      <w:hyperlink w:history="1" r:id="rIddxonv2-0jgumtqyis9qxx">
        <w:r>
          <w:rPr>
            <w:rStyle w:val="Hyperlink"/>
          </w:rPr>
          <w:t xml:space="preserve">CADA</w:t>
        </w:r>
      </w:hyperlink>
      <w:r>
        <w:t xml:space="preserve">; FAQ prática — </w:t>
      </w:r>
      <w:hyperlink w:history="1" r:id="rIdl_grjk0kw9x2i9bqsqtli">
        <w:r>
          <w:rPr>
            <w:rStyle w:val="Hyperlink"/>
          </w:rPr>
          <w:t xml:space="preserve">CCDR-N, 10/2025</w:t>
        </w:r>
      </w:hyperlink>
      <w:r>
        <w:t xml:space="preserve">; exemplo de parecer sobre incumprimento de prazo — </w:t>
      </w:r>
      <w:hyperlink w:history="1" r:id="rId2v0_ajdh-e2n6fe8bwkqd">
        <w:r>
          <w:rPr>
            <w:rStyle w:val="Hyperlink"/>
          </w:rPr>
          <w:t xml:space="preserve">Parecer 175/2019</w:t>
        </w:r>
      </w:hyperlink>
    </w:p>
    <w:p>
      <w:pPr>
        <w:pBdr>
          <w:left w:val="single" w:color="999999" w:sz="12"/>
        </w:pBdr>
        <w:spacing w:after="60"/>
        <w:ind w:left="360"/>
      </w:pPr>
      <w:r>
        <w:rPr>
          <w:b/>
          <w:bCs/>
          <w:color w:val="444444"/>
        </w:rPr>
        <w:t xml:space="preserve">Aviso de integridade (herdado do CHECKPOINT_V2 e ainda válido):</w:t>
      </w:r>
      <w:r>
        <w:rPr>
          <w:color w:val="444444"/>
        </w:rPr>
        <w:t xml:space="preserve"> os acórdãos TC 430/98, TC 510/05, STA 476/2019 e STA 245/2020, citados em fases antigas da sessão, </w:t>
      </w:r>
      <w:r>
        <w:rPr>
          <w:b/>
          <w:bCs/>
          <w:color w:val="444444"/>
        </w:rPr>
        <w:t xml:space="preserve">nunca foram verificados</w:t>
      </w:r>
      <w:r>
        <w:rPr>
          <w:color w:val="444444"/>
        </w:rPr>
        <w:t xml:space="preserve"> — não usar. Tudo o que consta desta secção foi pesquisado em 24/27-07-2026, ao nível do relato disponível online; confirmar o texto integral antes de citação oficial.</w:t>
      </w:r>
    </w:p>
    <w:p>
      <w:pPr>
        <w:pBdr>
          <w:bottom w:val="single" w:color="999999" w:sz="6"/>
        </w:pBdr>
        <w:spacing w:after="160"/>
      </w:pPr>
    </w:p>
    <w:p>
      <w:pPr>
        <w:pStyle w:val="Heading2"/>
        <w:spacing w:after="120" w:before="240"/>
      </w:pPr>
      <w:r>
        <w:t xml:space="preserve">11. Índice documental do repositório (fontes desta análise)</w:t>
      </w:r>
    </w:p>
    <w:p>
      <w:pPr>
        <w:spacing w:after="120"/>
        <w:jc w:val="both"/>
      </w:pPr>
      <w:r>
        <w:rPr>
          <w:b/>
          <w:bCs/>
        </w:rPr>
        <w:t xml:space="preserve">Peças oficiais despachadas/assinadas:</w:t>
      </w:r>
      <w:r>
        <w:t xml:space="preserve"> Informação 105506/26 (MCP, despacho 23-07 23:34) · Informação 109085/26 (LADA, despacho 23-07 23:47) · Informação 85373/26 (assinada 28-05) · Informações 63109/26 e 69639/26 · Ofícios 63167/26-E, 64462/26-E (10/22-04), 69643/26 (22/24-04), 106881/26-E (17-07, à interessada), 109157/26-S (23-07, ao requerente) · Relatório de vistoria de seguimento (21-07, Filipe Duarte).</w:t>
      </w:r>
    </w:p>
    <w:p>
      <w:pPr>
        <w:spacing w:after="120"/>
        <w:jc w:val="both"/>
      </w:pPr>
      <w:r>
        <w:rPr>
          <w:b/>
          <w:bCs/>
        </w:rPr>
        <w:t xml:space="preserve">Comunicações do denunciante (todas):</w:t>
      </w:r>
      <w:r>
        <w:t xml:space="preserve"> 20-10-2025; 06-03, 08-04, 09-04 (cessação), 21-04, 18-05, 29-05, 07-06, 01-07 (réplica, 21:45), 15-07 (tréplica), 24-07 (à Diretora-Geral, com cadernetas AT de 14-07) de 2026.</w:t>
      </w:r>
    </w:p>
    <w:p>
      <w:pPr>
        <w:spacing w:after="120"/>
        <w:jc w:val="both"/>
      </w:pPr>
      <w:r>
        <w:rPr>
          <w:b/>
          <w:bCs/>
        </w:rPr>
        <w:t xml:space="preserve">Documentos de terceiros:</w:t>
      </w:r>
      <w:r>
        <w:t xml:space="preserve"> Auto GNR RS 24/26 + OFI00069/26 (23-03) · OFI01196/26 do SEPNA ao denunciante (21-04) · emails da requerente (13/17-03) · medidas corretivas e evidências (Anexo 11) · escritura de compra e venda de 23-06-2005 (certidão notarial de 19-11-2025) · informação predial da descrição 685/19980413 (11-11-2024) · cadernetas AT (rústica 1707, urbana 1191, emitidas 14-07-2026).</w:t>
      </w:r>
    </w:p>
    <w:p>
      <w:pPr>
        <w:spacing w:after="120"/>
        <w:jc w:val="both"/>
      </w:pPr>
      <w:r>
        <w:rPr>
          <w:b/>
          <w:bCs/>
        </w:rPr>
        <w:t xml:space="preserve">Documentos de trabalho da sessão (pasta `trabalho-sessao/` e raiz):</w:t>
      </w:r>
      <w:r>
        <w:t xml:space="preserve"> checkpoints (V2, MCP, 17-07), transcrições da réplica e tréplica, análises de 20/23/24-07, minutas (GNR, DAJA, LADA), este guia.</w:t>
      </w:r>
    </w:p>
    <w:p>
      <w:pPr>
        <w:pBdr>
          <w:bottom w:val="single" w:color="999999" w:sz="6"/>
        </w:pBdr>
        <w:spacing w:after="160"/>
      </w:pPr>
    </w:p>
    <w:p>
      <w:pPr>
        <w:spacing w:after="120"/>
        <w:jc w:val="both"/>
      </w:pPr>
      <w:r>
        <w:rPr>
          <w:i/>
          <w:iCs/>
        </w:rPr>
        <w:t xml:space="preserve">Fim do guia. Próxima revisão: quando a CADA notificar para pronúncia, quando o NUIPC produzir qualquer ato visível, ou quando chegar a próxima carta — o que ocorrer primeiro.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i/>
      <w:iCs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dcckvtdzlqxxwckjr35t" Type="http://schemas.openxmlformats.org/officeDocument/2006/relationships/hyperlink" Target="https://trc.pt/crime-de-denuncia-caluniosa-exercicio-do-direito-de-denuncia/" TargetMode="External"/><Relationship Id="rIdopev858es7c7ye6bmcx1h" Type="http://schemas.openxmlformats.org/officeDocument/2006/relationships/hyperlink" Target="https://informador.pt/legislacao/lexit/codigos/direito-penal/codigo-penal/livro-ii-parte-especial/titulo-v-dos-crimes-contra-o-estado/capitulo-iii-dos-crimes-contra-a-realizacao-da-justica/artigo-365-o-denuncia-caluniosa/" TargetMode="External"/><Relationship Id="rIdkg2kzweawdkzkgmp3kwl5" Type="http://schemas.openxmlformats.org/officeDocument/2006/relationships/hyperlink" Target="https://www.dgsi.pt/jtrg.nsf/86c25a698e4e7cb7802579ec004d3832/a646194449cfe39e8025838b00354083" TargetMode="External"/><Relationship Id="rId4di1dfgyhjsc6ntkacp1z" Type="http://schemas.openxmlformats.org/officeDocument/2006/relationships/hyperlink" Target="https://www.homepagejuridica.pt/tribunal/9242-stj-18-03-2021-acao-de-reivindicacao-presuncao-de-propriedade-registo-predial-inscricao-matricial-forca-probatoria-posse-usucapiao" TargetMode="External"/><Relationship Id="rIdzevl0wioyqnk9iizgdssf" Type="http://schemas.openxmlformats.org/officeDocument/2006/relationships/hyperlink" Target="https://www.homepagejuridica.pt/tribunal/11895-stj-02-03-2023-acao-de-reivindicacao-presuncao-juris-tantum-direito-de-propriedade-inscricao-matricial-descricao-predial" TargetMode="External"/><Relationship Id="rIdh4w-d3sf6gwkduwys1klr" Type="http://schemas.openxmlformats.org/officeDocument/2006/relationships/hyperlink" Target="https://jurisprudencia.pt/acordao/230624/" TargetMode="External"/><Relationship Id="rIdr2ycfzjiciwbf1awryugv" Type="http://schemas.openxmlformats.org/officeDocument/2006/relationships/hyperlink" Target="https://informador.pt/legislacao/lexit/codigos/direito-civil/codigo-civil/livro-iv-direito-da-familia/titulo-ii-do-casamento/capitulo-ix-efeitos-do-casamento-quanto-as-pessoas-e-aos-bens-dos-conjuges/seccao-iv-regimes-de-bens/subseccao-ii-regime-da-comunhao-de-adquiridos/artigo-1724-o-bens-integrados-na-comunhao/" TargetMode="External"/><Relationship Id="rIdwcr0_w1w0ao3x9rgduiz-" Type="http://schemas.openxmlformats.org/officeDocument/2006/relationships/hyperlink" Target="https://trc.pt/casamento-regime-de-comunhao-de-adquiridos-bens-comuns-plano-poupanca-reforma-ppr-bem-movel-ocupacao/" TargetMode="External"/><Relationship Id="rIdoynpj5aslfjbm_md1ufk0" Type="http://schemas.openxmlformats.org/officeDocument/2006/relationships/hyperlink" Target="https://juris.stj.pt/ecli/ECLI:PT:STJ:2020:3001.15.0T8OER.L1.S1" TargetMode="External"/><Relationship Id="rIdrp3vy77l4uawuu3qze4lf" Type="http://schemas.openxmlformats.org/officeDocument/2006/relationships/hyperlink" Target="https://dgsi.pt/jtrc.nsf/8fe0e606d8f56b22802576c0005637dc/9f583f015044910a80258b2300512c8d?OpenDocument=" TargetMode="External"/><Relationship Id="rId6dgkaotcy4lsu4hxfmmo0" Type="http://schemas.openxmlformats.org/officeDocument/2006/relationships/hyperlink" Target="https://comarcas.tribunais.org.pt/comarcas/juris2/setubal/pdf/Proc%20271-22.1T9STB%20-%20Difama%C3%A7%C3%A3o%20Agravada.pdf" TargetMode="External"/><Relationship Id="rIdcwmk9ine3-t1cqeucyyiv" Type="http://schemas.openxmlformats.org/officeDocument/2006/relationships/hyperlink" Target="https://dre.pt/web/guest/lexionario/-/dj/166020683/view" TargetMode="External"/><Relationship Id="rIdpsho7lsbofwsbyejlakvq" Type="http://schemas.openxmlformats.org/officeDocument/2006/relationships/hyperlink" Target="https://www.dgsi.pt/jstj.nsf/954f0ce6ad9dd8b980256b5f003fa814/71ab74dd74b2dfbf80258a6f0030813b" TargetMode="External"/><Relationship Id="rId_hdxuephsyaqeoku05qgl" Type="http://schemas.openxmlformats.org/officeDocument/2006/relationships/hyperlink" Target="https://diariodarepublica.pt/dr/legislacao-consolidada/decreto-lei/2015-105602322" TargetMode="External"/><Relationship Id="rIddxonv2-0jgumtqyis9qxx" Type="http://schemas.openxmlformats.org/officeDocument/2006/relationships/hyperlink" Target="https://www.cada.pt/legislacao/lei-no-26-2016-de-22-de-agosto" TargetMode="External"/><Relationship Id="rIdl_grjk0kw9x2i9bqsqtli" Type="http://schemas.openxmlformats.org/officeDocument/2006/relationships/hyperlink" Target="https://www.ccdr-n.pt/storage/app/media/uploaded-files/FAQS_Acessodocumentosadministrativos.pdf" TargetMode="External"/><Relationship Id="rId2v0_ajdh-e2n6fe8bwkqd" Type="http://schemas.openxmlformats.org/officeDocument/2006/relationships/hyperlink" Target="https://www.cada.pt/files/pareceres/2019/175.pdf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2026-07-27T12:21:03.344Z</dcterms:created>
  <dcterms:modified xsi:type="dcterms:W3CDTF">2026-07-27T12:21:03.345Z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