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数学活动 相交线与平行线数学活动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通过阅读、观察或操作，准确说出平行线画法探究、图案与建筑中的平行关系的含义、表示或基本步骤。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在Q2—Q4中运用“用所学知识解释活动结果”，能用完整语言、式子、图形或图表说明依据。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在基础与变式练习中运用“用所学知识解释活动结果”解决同类问题，并对结果进行检验。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用所学知识解释活动结果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把操作结果组织成有依据的说明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教材：人教版《义务教育教科书·数学七年级下册》，印刷页32—33（PDF 39—40）。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相交线与平行线数学活动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平行线画法探究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图案与建筑中的平行关系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方法：用所学知识解释活动结果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易错：把操作结果组织成有依据的说明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通过观察、操作、运算、推理或数据分析理解相交线与平行线数学活动，能用数学语言表达过程和依据，在解决教材问题中发展抽象能力、推理能力、运算能力、模型观念、几何直观或数据意识。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本课位于相交线与平行线，核心内容是平行线画法探究、图案与建筑中的平行关系，是本章知识链中的重要一环。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以前置知识“平行线判定、平移”为基础，并为后续本章综合应用、章末复习和相关知识学习提供方法支撑。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教材通过教材第32—33页数学活动与活动记录与小组展示，按情境—探究—结论—应用的路径组织学习。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学生已经学习平行线判定、平移，具备基本观察、计算、作图或整理数据的经验。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学生可能在“把操作结果组织成有依据的说明”处出现条件遗漏、表示不规范或方法选择不当。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只记“平行线画法探究”的结论，不检查适用条件。；把“用所学知识解释活动结果”与相近概念或逆命题混淆。；只写结果，不写过程、依据或检验。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呈现与“相交线与平行线数学活动”有关的教材情境或真实问题。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能说出本课将研究“平行线画法探究”。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组织Q1，回顾“平行线判定”。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围绕难点“把操作结果组织成有依据的说明”巡视提问。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能从活动中提取“平行线画法探究、图案与建筑中的平行关系”的共同特征。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依据学生记录形成“平行线画法探究、图案与建筑中的平行关系”的规范表述。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追问“为什么”，围绕“用所学知识解释活动结果”组织说明。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出示Q4（对应教材第32—33页数学活动），先遮住解答。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没有先确认“用所学知识解释活动结果”的条件，或只写结果不写依据。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保持三角尺一边贴住直尺，沿直尺平移后多次画线；各线同垂直于或同平行于同一方向，因此互相平行。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能运用“用所学知识解释活动结果”解决同类问题。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用“平行线画法探究—图案与建筑中的平行关系”梳理知识结构并布置分层作业。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