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8.1 算术平方根的估算与应用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通过阅读、观察或操作，准确说出计算器求平方根、估算无理数范围、算术平方根实际应用的含义、表示或基本步骤。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在Q2—Q4中运用“用夹逼和计算器求近似值”，能用完整语言、式子、图形或图表说明依据。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在基础与变式练习中运用“用夹逼和计算器求近似值”解决同类问题，并对结果进行检验。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用夹逼和计算器求近似值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结合实际条件解释近似结果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教材：人教版《义务教育教科书·数学七年级下册》，印刷页44—47（PDF 51—54）。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算术平方根的估算与应用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计算器求平方根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估算无理数范围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算术平方根实际应用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方法：用夹逼和计算器求近似值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易错：结合实际条件解释近似结果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通过观察、操作、运算、推理或数据分析理解算术平方根的估算与应用，能用数学语言表达过程和依据，在解决教材问题中发展抽象能力、推理能力、运算能力、模型观念、几何直观或数据意识。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本课位于实数，核心内容是计算器求平方根、估算无理数范围、算术平方根实际应用，是本章知识链中的重要一环。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以前置知识“算术平方根、近似数”为基础，并为后续本章综合应用、章末复习和相关知识学习提供方法支撑。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教材通过教材8.1例4、教材8.1例5与教材第44—47页练习与8.1习题，按情境—探究—结论—应用的路径组织学习。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学生已经学习算术平方根、近似数，具备基本观察、计算、作图或整理数据的经验。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学生可能在“结合实际条件解释近似结果”处出现条件遗漏、表示不规范或方法选择不当。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只记“计算器求平方根”的结论，不检查适用条件。；把“用夹逼和计算器求近似值”与相近概念或逆命题混淆。；只写结果，不写过程、依据或检验。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呈现与“算术平方根的估算与应用”有关的教材情境或真实问题。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能说出本课将研究“计算器求平方根”。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组织Q1，回顾“算术平方根”。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围绕难点“结合实际条件解释近似结果”巡视提问。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能从活动中提取“计算器求平方根、估算无理数范围”的共同特征。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依据学生记录形成“计算器求平方根、估算无理数范围、算术平方根实际应用”的规范表述。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追问“为什么”，围绕“用夹逼和计算器求近似值”组织说明。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出示Q4（对应教材8.1例4、教材8.1例5），先遮住解答。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没有先确认“用夹逼和计算器求近似值”的条件，或只写结果不写依据。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4²&lt;20&lt;5²，所以4&lt;√20&lt;5；√20≈4.5（精确值约4.472）。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能运用“用夹逼和计算器求近似值”解决同类问题。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用“计算器求平方根—估算无理数范围—算术平方根实际应用”梳理知识结构并布置分层作业。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