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10.2.1 代入消元法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通过阅读、观察或操作，准确说出消元思想、代入消元法、代入法步骤的含义、表示或基本步骤。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在Q2—Q4中运用“选取易表示的未知数完成代入”，能用完整语言、式子、图形或图表说明依据。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在基础与变式练习中运用“选取易表示的未知数完成代入”解决同类问题，并对结果进行检验。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选取易表示的未知数完成代入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规范变形并防止代入符号错误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教材：人教版《义务教育教科书·数学七年级下册》，印刷页91—94（PDF 98—101）。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代入消元法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消元思想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代入消元法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代入法步骤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方法：选取易表示的未知数完成代入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易错：规范变形并防止代入符号错误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通过观察、操作、运算、推理或数据分析理解代入消元法，能用数学语言表达过程和依据，在解决教材问题中发展抽象能力、推理能力、运算能力、模型观念、几何直观或数据意识。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本课位于二元一次方程组，核心内容是消元思想、代入消元法、代入法步骤，是本章知识链中的重要一环。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以前置知识“二元一次方程组、等式变形、一元一次方程”为基础，并为后续本章综合应用、章末复习和相关知识学习提供方法支撑。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教材通过教材10.2例1、教材10.2例2、教材10.2例3、教材10.2例4与教材第93—94页练习，按情境—探究—结论—应用的路径组织学习。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学生已经学习二元一次方程组、等式变形、一元一次方程，具备基本观察、计算、作图或整理数据的经验。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学生可能在“规范变形并防止代入符号错误”处出现条件遗漏、表示不规范或方法选择不当。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只记“消元思想”的结论，不检查适用条件。；把“选取易表示的未知数完成代入”与相近概念或逆命题混淆。；只写结果，不写过程、依据或检验。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呈现与“代入消元法”有关的教材情境或真实问题。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能说出本课将研究“消元思想”。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组织Q1，回顾“二元一次方程组”。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围绕难点“规范变形并防止代入符号错误”巡视提问。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能从活动中提取“消元思想、代入消元法”的共同特征。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依据学生记录形成“消元思想、代入消元法、代入法步骤”的规范表述。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追问“为什么”，围绕“选取易表示的未知数完成代入”组织说明。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出示Q4（对应教材10.2例1、教材10.2例2、教材10.2例3、教材10.2例4），先遮住解答。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没有先确认“选取易表示的未知数完成代入”的条件，或只写结果不写依据。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把y代入第二式：x+2x+1=7，x=2，y=5；解为(2,5)。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能运用“选取易表示的未知数完成代入”解决同类问题。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用“消元思想—代入消元法—代入法步骤”梳理知识结构并布置分层作业。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