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综合与实践 低碳生活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综合实践课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通过阅读、观察或操作，准确说出数据收集、碳足迹计算、不等式决策、合作研究的含义、表示或基本步骤。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在Q2—Q4中运用“把低碳目标转化为可计算方案”，能用完整语言、式子、图形或图表说明依据。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在基础与变式练习中运用“把低碳目标转化为可计算方案”解决同类问题，并对结果进行检验。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把低碳目标转化为可计算方案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数据来源、单位统一和方案评价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教材：人教版《义务教育教科书·数学七年级下册》，印刷页146—149（PDF 153—156）。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低碳生活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数据收集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碳足迹计算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不等式决策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合作研究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方法：把低碳目标转化为可计算方案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易错：数据来源、单位统一和方案评价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通过观察、操作、运算、推理或数据分析理解低碳生活，能用数学语言表达过程和依据，在解决教材问题中发展抽象能力、推理能力、运算能力、模型观念、几何直观或数据意识。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本课位于不等式与不等式组，核心内容是数据收集、碳足迹计算、不等式决策、合作研究，是本章知识链中的重要一环。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以前置知识“不等式与不等式组、百分数与统计表”为基础，并为后续本章综合应用、章末复习和相关知识学习提供方法支撑。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教材通过综合与实践“低碳生活”与团队任务、成果展示与多元评价，按情境—探究—结论—应用的路径组织学习。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学生已经学习不等式与不等式组、百分数与统计表，具备基本观察、计算、作图或整理数据的经验。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学生可能在“数据来源、单位统一和方案评价”处出现条件遗漏、表示不规范或方法选择不当。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只记“数据收集”的结论，不检查适用条件。；把“把低碳目标转化为可计算方案”与相近概念或逆命题混淆。；只写结果，不写过程、依据或检验。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呈现与“低碳生活”有关的教材情境或真实问题。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能说出本课将研究“数据收集”。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组织Q1，回顾“不等式与不等式组”。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围绕难点“数据来源、单位统一和方案评价”巡视提问。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能从活动中提取“数据收集、碳足迹计算”的共同特征。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依据学生记录形成“数据收集、碳足迹计算、不等式决策、合作研究”的规范表述。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追问“为什么”，围绕“把低碳目标转化为可计算方案”组织说明。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出示Q4（对应综合与实践“低碳生活”），先遮住解答。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没有先确认“把低碳目标转化为可计算方案”的条件，或只写结果不写依据。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设减少x kWh，260−x≤220，得x≥40，至少减少40 kWh。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能运用“把低碳目标转化为可计算方案”解决同类问题。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用“数据收集—碳足迹计算—不等式决策”梳理知识结构并布置分层作业。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