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12.1 抽样调查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通过阅读、观察或操作，准确说出总体、个体、样本、样本容量、简单随机抽样的含义、表示或基本步骤。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在Q2—Q4中运用“判断调查方式并识别总体和样本”，能用完整语言、式子、图形或图表说明依据。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在基础与变式练习中运用“判断调查方式并识别总体和样本”解决同类问题，并对结果进行检验。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判断调查方式并识别总体和样本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理解样本代表性和随机性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教材：人教版《义务教育教科书·数学七年级下册》，印刷页154—155（PDF 161—162）。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抽样调查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总体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个体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样本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样本容量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5. 简单随机抽样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方法：判断调查方式并识别总体和样本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易错：理解样本代表性和随机性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通过观察、操作、运算、推理或数据分析理解抽样调查，能用数学语言表达过程和依据，在解决教材问题中发展抽象能力、推理能力、运算能力、模型观念、几何直观或数据意识。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本课位于数据的收集、整理与描述，核心内容是总体、个体、样本、样本容量、简单随机抽样，是本章知识链中的重要一环。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以前置知识“全面调查、百分比”为基础，并为后续本章综合应用、章末复习和相关知识学习提供方法支撑。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教材通过教材育人中学抽样调查与教材第155页练习，按情境—探究—结论—应用的路径组织学习。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学生已经学习全面调查、百分比，具备基本观察、计算、作图或整理数据的经验。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学生可能在“理解样本代表性和随机性”处出现条件遗漏、表示不规范或方法选择不当。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只记“总体”的结论，不检查适用条件。；把“判断调查方式并识别总体和样本”与相近概念或逆命题混淆。；只写结果，不写过程、依据或检验。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呈现与“抽样调查”有关的教材情境或真实问题。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能说出本课将研究“总体”。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组织Q1，回顾“全面调查”。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围绕难点“理解样本代表性和随机性”巡视提问。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能从活动中提取“总体、个体”的共同特征。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依据学生记录形成“总体、个体、样本、样本容量、简单随机抽样”的规范表述。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追问“为什么”，围绕“判断调查方式并识别总体和样本”组织说明。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出示Q4（对应教材育人中学抽样调查），先遮住解答。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没有先确认“判断调查方式并识别总体和样本”的条件，或只写结果不写依据。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总体：全校1200人的睡眠时间；个体：每名学生的睡眠时间；样本：抽取60人的睡眠时间；样本容量60。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能运用“判断调查方式并识别总体和样本”解决同类问题。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用“总体—个体—样本”梳理知识结构并布置分层作业。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