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12.2 复合条形图与复合折线图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通过阅读、观察或操作，准确说出复合条形图、复合折线图、多组数据比较的含义、表示或基本步骤。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在Q2—Q4中运用“用同一图表比较两组数据”，能用完整语言、式子、图形或图表说明依据。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在基础与变式练习中运用“用同一图表比较两组数据”解决同类问题，并对结果进行检验。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用同一图表比较两组数据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读图时区分图例、单位和变化趋势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教材：人教版《义务教育教科书·数学七年级下册》，印刷页163—164（PDF 170—171）。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复合条形图与复合折线图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复合条形图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复合折线图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多组数据比较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方法：用同一图表比较两组数据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易错：读图时区分图例、单位和变化趋势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通过观察、操作、运算、推理或数据分析理解复合条形图与复合折线图，能用数学语言表达过程和依据，在解决教材问题中发展抽象能力、推理能力、运算能力、模型观念、几何直观或数据意识。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本课位于数据的收集、整理与描述，核心内容是复合条形图、复合折线图、多组数据比较，是本章知识链中的重要一环。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以前置知识“条形图、折线图”为基础，并为后续本章综合应用、章末复习和相关知识学习提供方法支撑。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教材通过教材12.2例2与教材第164页练习，按情境—探究—结论—应用的路径组织学习。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学生已经学习条形图、折线图，具备基本观察、计算、作图或整理数据的经验。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学生可能在“读图时区分图例、单位和变化趋势”处出现条件遗漏、表示不规范或方法选择不当。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只记“复合条形图”的结论，不检查适用条件。；把“用同一图表比较两组数据”与相近概念或逆命题混淆。；只写结果，不写过程、依据或检验。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呈现与“复合条形图与复合折线图”有关的教材情境或真实问题。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能说出本课将研究“复合条形图”。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组织Q1，回顾“条形图”。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围绕难点“读图时区分图例、单位和变化趋势”巡视提问。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能从活动中提取“复合条形图、复合折线图”的共同特征。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依据学生记录形成“复合条形图、复合折线图、多组数据比较”的规范表述。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追问“为什么”，围绕“用同一图表比较两组数据”组织说明。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出示Q4（对应教材12.2例2），先遮住解答。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没有先确认“用同一图表比较两组数据”的条件，或只写结果不写依据。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复合折线图；可同时观察两组数据的升降趋势和差距变化。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能运用“用同一图表比较两组数据”解决同类问题。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用“复合条形图—复合折线图—多组数据比较”梳理知识结构并布置分层作业。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