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Decisions Required from Counsel</w:t>
      </w:r>
    </w:p>
    <w:p>
      <w:pPr>
        <w:pBdr>
          <w:bottom w:val="single" w:color="C4CACB" w:sz="6" w:space="10"/>
        </w:pBdr>
        <w:spacing w:after="60"/>
      </w:pPr>
      <w:r>
        <w:rPr>
          <w:rFonts w:ascii="Georgia" w:cs="Georgia" w:eastAsia="Georgia" w:hAnsi="Georgia"/>
          <w:color w:val="4A5456"/>
          <w:sz w:val="20"/>
          <w:szCs w:val="20"/>
        </w:rPr>
        <w:t xml:space="preserve">Prepared for counsel review</w:t>
      </w:r>
    </w:p>
    <w:p>
      <w:pPr>
        <w:spacing w:after="200"/>
      </w:pPr>
    </w:p>
    <w:p>
      <w:pPr>
        <w:spacing w:after="140" w:line="288"/>
        <w:jc w:val="left"/>
      </w:pPr>
      <w:r>
        <w:rPr>
          <w:rFonts w:ascii="Georgia" w:cs="Georgia" w:eastAsia="Georgia" w:hAnsi="Georgia"/>
          <w:sz w:val="21"/>
          <w:szCs w:val="21"/>
        </w:rPr>
        <w:t xml:space="preserve">This memorandum collects every business decision embedded in the accompanying document set, together with the reasoning behind the position taken. Each item is a choice made in preparing the documents that counsel should confirm or overrule. None is a gap; every provision is complete as written.</w:t>
      </w:r>
    </w:p>
    <w:p>
      <w:pPr>
        <w:spacing w:after="140" w:line="288"/>
        <w:jc w:val="left"/>
      </w:pPr>
      <w:r>
        <w:rPr>
          <w:rFonts w:ascii="Georgia" w:cs="Georgia" w:eastAsia="Georgia" w:hAnsi="Georgia"/>
          <w:sz w:val="21"/>
          <w:szCs w:val="21"/>
        </w:rPr>
        <w:t xml:space="preserve">Items are ordered by document. Section references match the numbered sections of the document named.</w:t>
      </w:r>
    </w:p>
    <w:p>
      <w:pPr>
        <w:spacing w:after="140" w:line="288"/>
        <w:jc w:val="left"/>
      </w:pPr>
      <w:r>
        <w:rPr>
          <w:rFonts w:ascii="Georgia" w:cs="Georgia" w:eastAsia="Georgia" w:hAnsi="Georgia"/>
          <w:sz w:val="21"/>
          <w:szCs w:val="21"/>
        </w:rPr>
        <w:t xml:space="preserve">There are 23 items in total.</w:t>
      </w:r>
    </w:p>
    <w:p>
      <w:pPr>
        <w:keepNext/>
        <w:spacing w:after="140" w:before="360"/>
      </w:pPr>
      <w:r>
        <w:rPr>
          <w:rFonts w:ascii="Georgia" w:cs="Georgia" w:eastAsia="Georgia" w:hAnsi="Georgia"/>
          <w:b/>
          <w:bCs/>
          <w:sz w:val="25"/>
          <w:szCs w:val="25"/>
        </w:rPr>
        <w:t xml:space="preserve">Items requiring attention first</w:t>
      </w:r>
    </w:p>
    <w:p>
      <w:pPr>
        <w:spacing w:after="140" w:line="288"/>
        <w:jc w:val="left"/>
      </w:pPr>
      <w:r>
        <w:rPr>
          <w:rFonts w:ascii="Georgia" w:cs="Georgia" w:eastAsia="Georgia" w:hAnsi="Georgia"/>
          <w:sz w:val="21"/>
          <w:szCs w:val="21"/>
        </w:rPr>
        <w:t xml:space="preserve">Three items should be resolved before any document in this set is published, because each describes platform behaviour that does not yet exist in the code. Publishing them ahead of the corresponding code change would create a stated commitment the platform cannot honour.</w:t>
      </w:r>
    </w:p>
    <w:p>
      <w:pPr>
        <w:pStyle w:val="ListParagraph"/>
        <w:numPr>
          <w:ilvl w:val="0"/>
          <w:numId w:val="2"/>
        </w:numPr>
        <w:spacing w:after="90" w:line="288"/>
      </w:pPr>
      <w:r>
        <w:rPr>
          <w:rFonts w:ascii="Georgia" w:cs="Georgia" w:eastAsia="Georgia" w:hAnsi="Georgia"/>
          <w:b/>
          <w:bCs/>
          <w:sz w:val="21"/>
          <w:szCs w:val="21"/>
        </w:rPr>
        <w:t xml:space="preserve">Terms of Sale, section 2 — refund of the service fee.</w:t>
      </w:r>
      <w:r>
        <w:rPr>
          <w:rFonts w:ascii="Georgia" w:cs="Georgia" w:eastAsia="Georgia" w:hAnsi="Georgia"/>
          <w:sz w:val="21"/>
          <w:szCs w:val="21"/>
        </w:rPr>
        <w:t xml:space="preserve"> The text says the service fee is refunded where a piece never arrived, arrived damaged, or was materially not as described. The refund code currently retains the fee on every refund without exception.</w:t>
      </w:r>
    </w:p>
    <w:p>
      <w:pPr>
        <w:pStyle w:val="ListParagraph"/>
        <w:numPr>
          <w:ilvl w:val="0"/>
          <w:numId w:val="2"/>
        </w:numPr>
        <w:spacing w:after="90" w:line="288"/>
      </w:pPr>
      <w:r>
        <w:rPr>
          <w:rFonts w:ascii="Georgia" w:cs="Georgia" w:eastAsia="Georgia" w:hAnsi="Georgia"/>
          <w:b/>
          <w:bCs/>
          <w:sz w:val="21"/>
          <w:szCs w:val="21"/>
        </w:rPr>
        <w:t xml:space="preserve">Returns and Refunds Policy — the service-fee carve-out and the never-shipped ground.</w:t>
      </w:r>
      <w:r>
        <w:rPr>
          <w:rFonts w:ascii="Georgia" w:cs="Georgia" w:eastAsia="Georgia" w:hAnsi="Georgia"/>
          <w:sz w:val="21"/>
          <w:szCs w:val="21"/>
        </w:rPr>
        <w:t xml:space="preserve"> Neither is implemented.</w:t>
      </w:r>
    </w:p>
    <w:p>
      <w:pPr>
        <w:pStyle w:val="ListParagraph"/>
        <w:numPr>
          <w:ilvl w:val="0"/>
          <w:numId w:val="2"/>
        </w:numPr>
        <w:spacing w:after="90" w:line="288"/>
      </w:pPr>
      <w:r>
        <w:rPr>
          <w:rFonts w:ascii="Georgia" w:cs="Georgia" w:eastAsia="Georgia" w:hAnsi="Georgia"/>
          <w:b/>
          <w:bCs/>
          <w:sz w:val="21"/>
          <w:szCs w:val="21"/>
        </w:rPr>
        <w:t xml:space="preserve">Artist Agreement, section 8 — the abandoned-order refund path.</w:t>
      </w:r>
      <w:r>
        <w:rPr>
          <w:rFonts w:ascii="Georgia" w:cs="Georgia" w:eastAsia="Georgia" w:hAnsi="Georgia"/>
          <w:sz w:val="21"/>
          <w:szCs w:val="21"/>
        </w:rPr>
        <w:t xml:space="preserve"> The platform cannot presently refund a buyer without the artist's approval.</w:t>
      </w:r>
    </w:p>
    <w:p>
      <w:pPr>
        <w:spacing w:after="140" w:line="288"/>
        <w:jc w:val="left"/>
      </w:pPr>
      <w:r>
        <w:rPr>
          <w:rFonts w:ascii="Georgia" w:cs="Georgia" w:eastAsia="Georgia" w:hAnsi="Georgia"/>
          <w:sz w:val="21"/>
          <w:szCs w:val="21"/>
        </w:rPr>
        <w:t xml:space="preserve">Either the code changes to match the documents, or the documents change to match the code. Both are acceptable; publishing the mismatch is not.</w:t>
      </w:r>
    </w:p>
    <w:p>
      <w:pPr>
        <w:keepNext/>
        <w:spacing w:after="140" w:before="360"/>
      </w:pPr>
      <w:r>
        <w:rPr>
          <w:rFonts w:ascii="Georgia" w:cs="Georgia" w:eastAsia="Georgia" w:hAnsi="Georgia"/>
          <w:b/>
          <w:bCs/>
          <w:sz w:val="25"/>
          <w:szCs w:val="25"/>
        </w:rPr>
        <w:t xml:space="preserve">04 — Artist Agreement</w:t>
      </w:r>
    </w:p>
    <w:p>
      <w:pPr>
        <w:keepNext/>
        <w:spacing w:after="100" w:before="240"/>
      </w:pPr>
      <w:r>
        <w:rPr>
          <w:rFonts w:ascii="Georgia" w:cs="Georgia" w:eastAsia="Georgia" w:hAnsi="Georgia"/>
          <w:b/>
          <w:bCs/>
          <w:sz w:val="22"/>
          <w:szCs w:val="22"/>
        </w:rPr>
        <w:t xml:space="preserve">4. Seller protection — who bears a chargeback</w:t>
      </w:r>
    </w:p>
    <w:p>
      <w:pPr>
        <w:spacing w:after="140" w:line="288"/>
        <w:jc w:val="left"/>
      </w:pPr>
      <w:r>
        <w:rPr>
          <w:rFonts w:ascii="Georgia" w:cs="Georgia" w:eastAsia="Georgia" w:hAnsi="Georgia"/>
          <w:sz w:val="21"/>
          <w:szCs w:val="21"/>
        </w:rPr>
        <w:t xml:space="preserve">This clause and the reserve right are new. The platform can already reverse a payout in code, but nothing in v1.0 gives us a contractual route to a shortfall once the artist's Stripe balance is empty, which is precisely the case where recovery matters. Confirm the set-off language and whether it needs a stated cap or notice period.</w:t>
      </w:r>
    </w:p>
    <w:p>
      <w:pPr>
        <w:keepNext/>
        <w:spacing w:after="100" w:before="240"/>
      </w:pPr>
      <w:r>
        <w:rPr>
          <w:rFonts w:ascii="Georgia" w:cs="Georgia" w:eastAsia="Georgia" w:hAnsi="Georgia"/>
          <w:b/>
          <w:bCs/>
          <w:sz w:val="22"/>
          <w:szCs w:val="22"/>
        </w:rPr>
        <w:t xml:space="preserve">5. Your work: originality, rights and authenticity</w:t>
      </w:r>
    </w:p>
    <w:p>
      <w:pPr>
        <w:spacing w:after="140" w:line="288"/>
        <w:jc w:val="left"/>
      </w:pPr>
      <w:r>
        <w:rPr>
          <w:rFonts w:ascii="Georgia" w:cs="Georgia" w:eastAsia="Georgia" w:hAnsi="Georgia"/>
          <w:sz w:val="21"/>
          <w:szCs w:val="21"/>
        </w:rPr>
        <w:t xml:space="preserve">Confirm this position. The alternatives were an outright ban on any AI involvement, or permitting generated work with disclosure. This middle line was chosen because it is enforceable, it matches a "local original art" marketplace, and it does not force artists to disavow ordinary digital tools.</w:t>
      </w:r>
    </w:p>
    <w:p>
      <w:pPr>
        <w:keepNext/>
        <w:spacing w:after="100" w:before="240"/>
      </w:pPr>
      <w:r>
        <w:rPr>
          <w:rFonts w:ascii="Georgia" w:cs="Georgia" w:eastAsia="Georgia" w:hAnsi="Georgia"/>
          <w:b/>
          <w:bCs/>
          <w:sz w:val="22"/>
          <w:szCs w:val="22"/>
        </w:rPr>
        <w:t xml:space="preserve">7. Shipping and fulfilment</w:t>
      </w:r>
    </w:p>
    <w:p>
      <w:pPr>
        <w:spacing w:after="140" w:line="288"/>
        <w:jc w:val="left"/>
      </w:pPr>
      <w:r>
        <w:rPr>
          <w:rFonts w:ascii="Georgia" w:cs="Georgia" w:eastAsia="Georgia" w:hAnsi="Georgia"/>
          <w:sz w:val="21"/>
          <w:szCs w:val="21"/>
        </w:rPr>
        <w:t xml:space="preserve">Confirm this tracks 16 C.F.R. Part 435. The 5-business-day window is a promise made on every listing page, so it is the "promised time" the rule attaches to. This is currently the largest compliance gap in the live product: today a late shipment is handled as a conversation, not as a refund right.</w:t>
      </w:r>
    </w:p>
    <w:p>
      <w:pPr>
        <w:keepNext/>
        <w:spacing w:after="100" w:before="240"/>
      </w:pPr>
      <w:r>
        <w:rPr>
          <w:rFonts w:ascii="Georgia" w:cs="Georgia" w:eastAsia="Georgia" w:hAnsi="Georgia"/>
          <w:b/>
          <w:bCs/>
          <w:sz w:val="22"/>
          <w:szCs w:val="22"/>
        </w:rPr>
        <w:t xml:space="preserve">7. Shipping and fulfilment</w:t>
      </w:r>
    </w:p>
    <w:p>
      <w:pPr>
        <w:spacing w:after="140" w:line="288"/>
        <w:jc w:val="left"/>
      </w:pPr>
      <w:r>
        <w:rPr>
          <w:rFonts w:ascii="Georgia" w:cs="Georgia" w:eastAsia="Georgia" w:hAnsi="Georgia"/>
          <w:sz w:val="21"/>
          <w:szCs w:val="21"/>
        </w:rPr>
        <w:t xml:space="preserve">V1.0 required insurance "for at least the artwork price" without qualification, which for higher-value work asks artists to buy cover the major carriers will not sell. An obligation that cannot be performed is worse than a softer one that can.</w:t>
      </w:r>
    </w:p>
    <w:p>
      <w:pPr>
        <w:keepNext/>
        <w:spacing w:after="100" w:before="240"/>
      </w:pPr>
      <w:r>
        <w:rPr>
          <w:rFonts w:ascii="Georgia" w:cs="Georgia" w:eastAsia="Georgia" w:hAnsi="Georgia"/>
          <w:b/>
          <w:bCs/>
          <w:sz w:val="22"/>
          <w:szCs w:val="22"/>
        </w:rPr>
        <w:t xml:space="preserve">8. Refunds</w:t>
      </w:r>
    </w:p>
    <w:p>
      <w:pPr>
        <w:spacing w:after="140" w:line="288"/>
        <w:jc w:val="left"/>
      </w:pPr>
      <w:r>
        <w:rPr>
          <w:rFonts w:ascii="Georgia" w:cs="Georgia" w:eastAsia="Georgia" w:hAnsi="Georgia"/>
          <w:sz w:val="21"/>
          <w:szCs w:val="21"/>
        </w:rPr>
        <w:t xml:space="preserve">The fourth exception and the abandoned-order path are new. Without them a buyer whose piece never ships has no route except a chargeback, which is the worst outcome for everyone including the artist.</w:t>
      </w:r>
    </w:p>
    <w:p>
      <w:pPr>
        <w:keepNext/>
        <w:spacing w:after="100" w:before="240"/>
      </w:pPr>
      <w:r>
        <w:rPr>
          <w:rFonts w:ascii="Georgia" w:cs="Georgia" w:eastAsia="Georgia" w:hAnsi="Georgia"/>
          <w:b/>
          <w:bCs/>
          <w:sz w:val="22"/>
          <w:szCs w:val="22"/>
        </w:rPr>
        <w:t xml:space="preserve">9. Taxes</w:t>
      </w:r>
    </w:p>
    <w:p>
      <w:pPr>
        <w:spacing w:after="140" w:line="288"/>
        <w:jc w:val="left"/>
      </w:pPr>
      <w:r>
        <w:rPr>
          <w:rFonts w:ascii="Georgia" w:cs="Georgia" w:eastAsia="Georgia" w:hAnsi="Georgia"/>
          <w:sz w:val="21"/>
          <w:szCs w:val="21"/>
        </w:rPr>
        <w:t xml:space="preserve">Confirm who actually files. Charges are created on the Custom Canvas account and transferred out, so Custom Canvas may itself be the payment settlement entity for these transactions rather than a passive beneficiary of Stripe's filing. Stripe files on behalf of Connect platforms in most configurations, but the obligation is worth confirming in writing rather than assuming, and the artist-facing sentence should name whoever it turns out to be.</w:t>
      </w:r>
    </w:p>
    <w:p>
      <w:pPr>
        <w:keepNext/>
        <w:spacing w:after="100" w:before="240"/>
      </w:pPr>
      <w:r>
        <w:rPr>
          <w:rFonts w:ascii="Georgia" w:cs="Georgia" w:eastAsia="Georgia" w:hAnsi="Georgia"/>
          <w:b/>
          <w:bCs/>
          <w:sz w:val="22"/>
          <w:szCs w:val="22"/>
        </w:rPr>
        <w:t xml:space="preserve">13. General</w:t>
      </w:r>
    </w:p>
    <w:p>
      <w:pPr>
        <w:spacing w:after="140" w:line="288"/>
        <w:jc w:val="left"/>
      </w:pPr>
      <w:r>
        <w:rPr>
          <w:rFonts w:ascii="Georgia" w:cs="Georgia" w:eastAsia="Georgia" w:hAnsi="Georgia"/>
          <w:sz w:val="21"/>
          <w:szCs w:val="21"/>
        </w:rPr>
        <w:t xml:space="preserve">Confirm you want arbitration at all. It limits class exposure, but mass-arbitration campaigns have made filing fees a real risk for small platforms, and with 15–25 artists the class risk is currently theoretical. The clause is drafted to be enforceable — informal-resolution period, small-claims and injunctive carve-outs, opt-out window, fee-shifting — but the decision to include it is a business one.</w:t>
      </w:r>
    </w:p>
    <w:p>
      <w:pPr>
        <w:keepNext/>
        <w:spacing w:after="140" w:before="360"/>
      </w:pPr>
      <w:r>
        <w:rPr>
          <w:rFonts w:ascii="Georgia" w:cs="Georgia" w:eastAsia="Georgia" w:hAnsi="Georgia"/>
          <w:b/>
          <w:bCs/>
          <w:sz w:val="25"/>
          <w:szCs w:val="25"/>
        </w:rPr>
        <w:t xml:space="preserve">05 — Terms of Service</w:t>
      </w:r>
    </w:p>
    <w:p>
      <w:pPr>
        <w:keepNext/>
        <w:spacing w:after="100" w:before="240"/>
      </w:pPr>
      <w:r>
        <w:rPr>
          <w:rFonts w:ascii="Georgia" w:cs="Georgia" w:eastAsia="Georgia" w:hAnsi="Georgia"/>
          <w:b/>
          <w:bCs/>
          <w:sz w:val="22"/>
          <w:szCs w:val="22"/>
        </w:rPr>
        <w:t xml:space="preserve">2. Who may use Custom Canvas</w:t>
      </w:r>
    </w:p>
    <w:p>
      <w:pPr>
        <w:spacing w:after="140" w:line="288"/>
        <w:jc w:val="left"/>
      </w:pPr>
      <w:r>
        <w:rPr>
          <w:rFonts w:ascii="Georgia" w:cs="Georgia" w:eastAsia="Georgia" w:hAnsi="Georgia"/>
          <w:sz w:val="21"/>
          <w:szCs w:val="21"/>
        </w:rPr>
        <w:t xml:space="preserve">V1.0 set the account minimum at 13 with a parental-involvement caveat. Raising it to 18 is recommended for three reasons. Accounts are contractual: a minor's purchase is voidable, and this platform sells one-of-a-kind objects that ship immediately. The platform pairs private messaging with adults selling to strangers, and a 13-year-old account holder is the population that makes that a safeguarding question rather than a product question. And Texas's SCOPE Act imposes duties on digital service providers that know they host minors, including parental-consent and data-use obligations that this platform has built nothing to satisfy. An 18+ rule removes all three at the cost of a user group the business does not currently want. Confirm, and confirm the SCOPE Act analysis against its current text and any pending litigation.</w:t>
      </w:r>
    </w:p>
    <w:p>
      <w:pPr>
        <w:keepNext/>
        <w:spacing w:after="100" w:before="240"/>
      </w:pPr>
      <w:r>
        <w:rPr>
          <w:rFonts w:ascii="Georgia" w:cs="Georgia" w:eastAsia="Georgia" w:hAnsi="Georgia"/>
          <w:b/>
          <w:bCs/>
          <w:sz w:val="22"/>
          <w:szCs w:val="22"/>
        </w:rPr>
        <w:t xml:space="preserve">10. Fees</w:t>
      </w:r>
    </w:p>
    <w:p>
      <w:pPr>
        <w:spacing w:after="140" w:line="288"/>
        <w:jc w:val="left"/>
      </w:pPr>
      <w:r>
        <w:rPr>
          <w:rFonts w:ascii="Georgia" w:cs="Georgia" w:eastAsia="Georgia" w:hAnsi="Georgia"/>
          <w:sz w:val="21"/>
          <w:szCs w:val="21"/>
        </w:rPr>
        <w:t xml:space="preserve">The fee is deliberately structured as a service fee applying to all orders rather than as a card surcharge, which is what keeps it out of the surcharge rules and the network prohibition on surcharging debit. That framing only holds if the fee really does apply to every order. If a non-card payment method is ever added, the fee must apply to it too, or the characterisation fails retroactively.</w:t>
      </w:r>
    </w:p>
    <w:p>
      <w:pPr>
        <w:keepNext/>
        <w:spacing w:after="100" w:before="240"/>
      </w:pPr>
      <w:r>
        <w:rPr>
          <w:rFonts w:ascii="Georgia" w:cs="Georgia" w:eastAsia="Georgia" w:hAnsi="Georgia"/>
          <w:b/>
          <w:bCs/>
          <w:sz w:val="22"/>
          <w:szCs w:val="22"/>
        </w:rPr>
        <w:t xml:space="preserve">13. Disclaimers and limitation of liability</w:t>
      </w:r>
    </w:p>
    <w:p>
      <w:pPr>
        <w:spacing w:after="140" w:line="288"/>
        <w:jc w:val="left"/>
      </w:pPr>
      <w:r>
        <w:rPr>
          <w:rFonts w:ascii="Georgia" w:cs="Georgia" w:eastAsia="Georgia" w:hAnsi="Georgia"/>
          <w:sz w:val="21"/>
          <w:szCs w:val="21"/>
        </w:rPr>
        <w:t xml:space="preserve">This is the sharpest tension in the document set and needs your eye specifically. Custom Canvas is the merchant of record, so the buyer's contract for the goods is with us, and here we disclaim every warranty about the goods. A disclaimer of implied warranties can be drafted to hold (this one is conspicuous and names merchantability, per UCC §2-316), but a disclaimer does not answer a Texas DTPA claim built on a representation about the work, and the listing text we host is arguably ours to answer for as merchant of record. The mitigation already in these documents is the promise to refund a substantiated misdescription regardless of what the artist wants, which converts a warranty fight into a refund. Confirm that is enough, or tell us to restructure so the artist is the seller of record for the goods while we remain the merchant of record for payment.</w:t>
      </w:r>
    </w:p>
    <w:p>
      <w:pPr>
        <w:keepNext/>
        <w:spacing w:after="100" w:before="240"/>
      </w:pPr>
      <w:r>
        <w:rPr>
          <w:rFonts w:ascii="Georgia" w:cs="Georgia" w:eastAsia="Georgia" w:hAnsi="Georgia"/>
          <w:b/>
          <w:bCs/>
          <w:sz w:val="22"/>
          <w:szCs w:val="22"/>
        </w:rPr>
        <w:t xml:space="preserve">15. Governing law and dispute resolution</w:t>
      </w:r>
    </w:p>
    <w:p>
      <w:pPr>
        <w:spacing w:after="140" w:line="288"/>
        <w:jc w:val="left"/>
      </w:pPr>
      <w:r>
        <w:rPr>
          <w:rFonts w:ascii="Georgia" w:cs="Georgia" w:eastAsia="Georgia" w:hAnsi="Georgia"/>
          <w:sz w:val="21"/>
          <w:szCs w:val="21"/>
        </w:rPr>
        <w:t xml:space="preserve">Confirm arbitration is wanted. It caps class exposure, but mass-arbitration filing fees are a genuine risk for a platform this size, and at 15–25 artists the class risk is theoretical. The clause is drafted to be enforceable — informal period, small-claims and injunctive carve-outs, opt-out, fee-shifting — but including it is a business decision.</w:t>
      </w:r>
    </w:p>
    <w:p>
      <w:pPr>
        <w:keepNext/>
        <w:spacing w:after="140" w:before="360"/>
      </w:pPr>
      <w:r>
        <w:rPr>
          <w:rFonts w:ascii="Georgia" w:cs="Georgia" w:eastAsia="Georgia" w:hAnsi="Georgia"/>
          <w:b/>
          <w:bCs/>
          <w:sz w:val="25"/>
          <w:szCs w:val="25"/>
        </w:rPr>
        <w:t xml:space="preserve">06 — Terms of Sale</w:t>
      </w:r>
    </w:p>
    <w:p>
      <w:pPr>
        <w:keepNext/>
        <w:spacing w:after="100" w:before="240"/>
      </w:pPr>
      <w:r>
        <w:rPr>
          <w:rFonts w:ascii="Georgia" w:cs="Georgia" w:eastAsia="Georgia" w:hAnsi="Georgia"/>
          <w:b/>
          <w:bCs/>
          <w:sz w:val="22"/>
          <w:szCs w:val="22"/>
        </w:rPr>
        <w:t xml:space="preserve">2. What you pay</w:t>
      </w:r>
    </w:p>
    <w:p>
      <w:pPr>
        <w:spacing w:after="140" w:line="288"/>
        <w:jc w:val="left"/>
      </w:pPr>
      <w:r>
        <w:rPr>
          <w:rFonts w:ascii="Georgia" w:cs="Georgia" w:eastAsia="Georgia" w:hAnsi="Georgia"/>
          <w:sz w:val="21"/>
          <w:szCs w:val="21"/>
        </w:rPr>
        <w:t xml:space="preserve">This last sentence is a change. The refund code currently retains the service fee on every refund without exception. The reasoning for changing it: keeping a buyer's fee on a sale that failed through no fault of theirs is the clearest chargeback trigger in the whole flow, and a fee described as covering processing is hard to defend as earned on an order that was unwound. Either the code changes to match this sentence before publication, or this sentence comes out. It should not be published ahead of the code.</w:t>
      </w:r>
    </w:p>
    <w:p>
      <w:pPr>
        <w:keepNext/>
        <w:spacing w:after="100" w:before="240"/>
      </w:pPr>
      <w:r>
        <w:rPr>
          <w:rFonts w:ascii="Georgia" w:cs="Georgia" w:eastAsia="Georgia" w:hAnsi="Georgia"/>
          <w:b/>
          <w:bCs/>
          <w:sz w:val="22"/>
          <w:szCs w:val="22"/>
        </w:rPr>
        <w:t xml:space="preserve">9. Other terms that apply to your purchase</w:t>
      </w:r>
    </w:p>
    <w:p>
      <w:pPr>
        <w:spacing w:after="140" w:line="288"/>
        <w:jc w:val="left"/>
      </w:pPr>
      <w:r>
        <w:rPr>
          <w:rFonts w:ascii="Georgia" w:cs="Georgia" w:eastAsia="Georgia" w:hAnsi="Georgia"/>
          <w:sz w:val="21"/>
          <w:szCs w:val="21"/>
        </w:rPr>
        <w:t xml:space="preserve">This section is new. Without it the Terms of Sale, which is the document a buyer actually accepts at checkout, contains no dispute-resolution provision at all and merely cross-refers in a footer. If arbitration is to bind buyers on purchase disputes, the purchase document has to say so where the buyer can see it.</w:t>
      </w:r>
    </w:p>
    <w:p>
      <w:pPr>
        <w:keepNext/>
        <w:spacing w:after="140" w:before="360"/>
      </w:pPr>
      <w:r>
        <w:rPr>
          <w:rFonts w:ascii="Georgia" w:cs="Georgia" w:eastAsia="Georgia" w:hAnsi="Georgia"/>
          <w:b/>
          <w:bCs/>
          <w:sz w:val="25"/>
          <w:szCs w:val="25"/>
        </w:rPr>
        <w:t xml:space="preserve">07 — Privacy Policy</w:t>
      </w:r>
    </w:p>
    <w:p>
      <w:pPr>
        <w:keepNext/>
        <w:spacing w:after="100" w:before="240"/>
      </w:pPr>
      <w:r>
        <w:rPr>
          <w:rFonts w:ascii="Georgia" w:cs="Georgia" w:eastAsia="Georgia" w:hAnsi="Georgia"/>
          <w:b/>
          <w:bCs/>
          <w:sz w:val="22"/>
          <w:szCs w:val="22"/>
        </w:rPr>
        <w:t xml:space="preserve">6. How long we keep it</w:t>
      </w:r>
    </w:p>
    <w:p>
      <w:pPr>
        <w:spacing w:after="140" w:line="288"/>
        <w:jc w:val="left"/>
      </w:pPr>
      <w:r>
        <w:rPr>
          <w:rFonts w:ascii="Georgia" w:cs="Georgia" w:eastAsia="Georgia" w:hAnsi="Georgia"/>
          <w:sz w:val="21"/>
          <w:szCs w:val="21"/>
        </w:rPr>
        <w:t xml:space="preserve">Confirm the seven-year figure against Texas and federal record-keeping requirements, and confirm that retaining a shipping address inside a closed order is the right call — it is needed to defend a chargeback, which can arrive long after account closure.</w:t>
      </w:r>
    </w:p>
    <w:p>
      <w:pPr>
        <w:keepNext/>
        <w:spacing w:after="100" w:before="240"/>
      </w:pPr>
      <w:r>
        <w:rPr>
          <w:rFonts w:ascii="Georgia" w:cs="Georgia" w:eastAsia="Georgia" w:hAnsi="Georgia"/>
          <w:b/>
          <w:bCs/>
          <w:sz w:val="22"/>
          <w:szCs w:val="22"/>
        </w:rPr>
        <w:t xml:space="preserve">7. Your rights</w:t>
      </w:r>
    </w:p>
    <w:p>
      <w:pPr>
        <w:spacing w:after="140" w:line="288"/>
        <w:jc w:val="left"/>
      </w:pPr>
      <w:r>
        <w:rPr>
          <w:rFonts w:ascii="Georgia" w:cs="Georgia" w:eastAsia="Georgia" w:hAnsi="Georgia"/>
          <w:sz w:val="21"/>
          <w:szCs w:val="21"/>
        </w:rPr>
        <w:t xml:space="preserve">Confirm the SBA size-standard analysis for our NAICS code, and confirm you are comfortable with the voluntary extension — offering rights we are not required to offer is a commitment, and withdrawing it later reads badly.</w:t>
      </w:r>
    </w:p>
    <w:p>
      <w:pPr>
        <w:keepNext/>
        <w:spacing w:after="100" w:before="240"/>
      </w:pPr>
      <w:r>
        <w:rPr>
          <w:rFonts w:ascii="Georgia" w:cs="Georgia" w:eastAsia="Georgia" w:hAnsi="Georgia"/>
          <w:b/>
          <w:bCs/>
          <w:sz w:val="22"/>
          <w:szCs w:val="22"/>
        </w:rPr>
        <w:t xml:space="preserve">8. Security</w:t>
      </w:r>
    </w:p>
    <w:p>
      <w:pPr>
        <w:spacing w:after="140" w:line="288"/>
        <w:jc w:val="left"/>
      </w:pPr>
      <w:r>
        <w:rPr>
          <w:rFonts w:ascii="Georgia" w:cs="Georgia" w:eastAsia="Georgia" w:hAnsi="Georgia"/>
          <w:sz w:val="21"/>
          <w:szCs w:val="21"/>
        </w:rPr>
        <w:t xml:space="preserve">Confirm both deadlines and the threshold against the current text of Tex. Bus. &amp; Com. Code §521.053. The previous version gave 60 days for both and described the threshold as "more than 250"; the AG deadline was shortened to 30 days by amendment and the threshold is expressed as "at or over" 250. Worth being exact: these are the two numbers someone will be reading off this page at the worst possible moment.</w:t>
      </w:r>
    </w:p>
    <w:p>
      <w:pPr>
        <w:keepNext/>
        <w:spacing w:after="100" w:before="240"/>
      </w:pPr>
      <w:r>
        <w:rPr>
          <w:rFonts w:ascii="Georgia" w:cs="Georgia" w:eastAsia="Georgia" w:hAnsi="Georgia"/>
          <w:b/>
          <w:bCs/>
          <w:sz w:val="22"/>
          <w:szCs w:val="22"/>
        </w:rPr>
        <w:t xml:space="preserve">9. Age</w:t>
      </w:r>
    </w:p>
    <w:p>
      <w:pPr>
        <w:spacing w:after="140" w:line="288"/>
        <w:jc w:val="left"/>
      </w:pPr>
      <w:r>
        <w:rPr>
          <w:rFonts w:ascii="Georgia" w:cs="Georgia" w:eastAsia="Georgia" w:hAnsi="Georgia"/>
          <w:sz w:val="21"/>
          <w:szCs w:val="21"/>
        </w:rPr>
        <w:t xml:space="preserve">This follows the change to Terms of Service §2. If you overrule that change and the account minimum stays at 13, this section has to come back to a COPPA-shaped under-13 clause and the Texas SCOPE Act analysis becomes live.</w:t>
      </w:r>
    </w:p>
    <w:p>
      <w:pPr>
        <w:keepNext/>
        <w:spacing w:after="140" w:before="360"/>
      </w:pPr>
      <w:r>
        <w:rPr>
          <w:rFonts w:ascii="Georgia" w:cs="Georgia" w:eastAsia="Georgia" w:hAnsi="Georgia"/>
          <w:b/>
          <w:bCs/>
          <w:sz w:val="25"/>
          <w:szCs w:val="25"/>
        </w:rPr>
        <w:t xml:space="preserve">08 — Cookie Policy</w:t>
      </w:r>
    </w:p>
    <w:p>
      <w:pPr>
        <w:keepNext/>
        <w:spacing w:after="100" w:before="240"/>
      </w:pPr>
      <w:r>
        <w:rPr>
          <w:rFonts w:ascii="Georgia" w:cs="Georgia" w:eastAsia="Georgia" w:hAnsi="Georgia"/>
          <w:b/>
          <w:bCs/>
          <w:sz w:val="22"/>
          <w:szCs w:val="22"/>
        </w:rPr>
        <w:t xml:space="preserve">What we use</w:t>
      </w:r>
    </w:p>
    <w:p>
      <w:pPr>
        <w:spacing w:after="140" w:line="288"/>
        <w:jc w:val="left"/>
      </w:pPr>
      <w:r>
        <w:rPr>
          <w:rFonts w:ascii="Georgia" w:cs="Georgia" w:eastAsia="Georgia" w:hAnsi="Georgia"/>
          <w:sz w:val="21"/>
          <w:szCs w:val="21"/>
        </w:rPr>
        <w:t xml:space="preserve">Because the only cookies we set are strictly necessary — session authentication and the sign-in CAPTCHA — and analytics is cookieless, the consent banner currently shown may not be required at all. Worth confirming: an unnecessary banner is friction on every first visit, and a banner that implies choices it does not actually offer is its own small problem.</w:t>
      </w:r>
    </w:p>
    <w:p>
      <w:pPr>
        <w:keepNext/>
        <w:spacing w:after="140" w:before="360"/>
      </w:pPr>
      <w:r>
        <w:rPr>
          <w:rFonts w:ascii="Georgia" w:cs="Georgia" w:eastAsia="Georgia" w:hAnsi="Georgia"/>
          <w:b/>
          <w:bCs/>
          <w:sz w:val="25"/>
          <w:szCs w:val="25"/>
        </w:rPr>
        <w:t xml:space="preserve">09 — DMCA and Copyright Policy</w:t>
      </w:r>
    </w:p>
    <w:p>
      <w:pPr>
        <w:keepNext/>
        <w:spacing w:after="100" w:before="240"/>
      </w:pPr>
      <w:r>
        <w:rPr>
          <w:rFonts w:ascii="Georgia" w:cs="Georgia" w:eastAsia="Georgia" w:hAnsi="Georgia"/>
          <w:b/>
          <w:bCs/>
          <w:sz w:val="22"/>
          <w:szCs w:val="22"/>
        </w:rPr>
        <w:t xml:space="preserve">Repeat infringers</w:t>
      </w:r>
    </w:p>
    <w:p>
      <w:pPr>
        <w:spacing w:after="140" w:line="288"/>
        <w:jc w:val="left"/>
      </w:pPr>
      <w:r>
        <w:rPr>
          <w:rFonts w:ascii="Georgia" w:cs="Georgia" w:eastAsia="Georgia" w:hAnsi="Georgia"/>
          <w:sz w:val="21"/>
          <w:szCs w:val="21"/>
        </w:rPr>
        <w:t xml:space="preserve">A stated, consistently applied standard is what courts look for when assessing a repeat-infringer policy. Confirm the threshold and, more importantly, confirm we will actually apply it as written — an unapplied policy is worse than a lenient one.</w:t>
      </w:r>
    </w:p>
    <w:p>
      <w:pPr>
        <w:keepNext/>
        <w:spacing w:after="140" w:before="360"/>
      </w:pPr>
      <w:r>
        <w:rPr>
          <w:rFonts w:ascii="Georgia" w:cs="Georgia" w:eastAsia="Georgia" w:hAnsi="Georgia"/>
          <w:b/>
          <w:bCs/>
          <w:sz w:val="25"/>
          <w:szCs w:val="25"/>
        </w:rPr>
        <w:t xml:space="preserve">10 — Prohibited and Restricted Items Policy</w:t>
      </w:r>
    </w:p>
    <w:p>
      <w:pPr>
        <w:keepNext/>
        <w:spacing w:after="100" w:before="240"/>
      </w:pPr>
      <w:r>
        <w:rPr>
          <w:rFonts w:ascii="Georgia" w:cs="Georgia" w:eastAsia="Georgia" w:hAnsi="Georgia"/>
          <w:b/>
          <w:bCs/>
          <w:sz w:val="22"/>
          <w:szCs w:val="22"/>
        </w:rPr>
        <w:t xml:space="preserve">General</w:t>
      </w:r>
    </w:p>
    <w:p>
      <w:pPr>
        <w:spacing w:after="140" w:line="288"/>
        <w:jc w:val="left"/>
      </w:pPr>
      <w:r>
        <w:rPr>
          <w:rFonts w:ascii="Georgia" w:cs="Georgia" w:eastAsia="Georgia" w:hAnsi="Georgia"/>
          <w:sz w:val="21"/>
          <w:szCs w:val="21"/>
        </w:rPr>
        <w:t xml:space="preserve">V1.0 of this policy prohibited "work you did not make and do not have the right to sell" outright while separately permitting vintage and estate work as a restricted category, which contradicted itself and contradicted the no-secondary-market position in the operational brief. Resolved here in favour of prohibition at launch. This is a business decision as much as a legal one and is easy to reverse later; it is much harder to reverse after an estate seller has been admitted.</w:t>
      </w:r>
    </w:p>
    <w:p>
      <w:pPr>
        <w:keepNext/>
        <w:spacing w:after="140" w:before="360"/>
      </w:pPr>
      <w:r>
        <w:rPr>
          <w:rFonts w:ascii="Georgia" w:cs="Georgia" w:eastAsia="Georgia" w:hAnsi="Georgia"/>
          <w:b/>
          <w:bCs/>
          <w:sz w:val="25"/>
          <w:szCs w:val="25"/>
        </w:rPr>
        <w:t xml:space="preserve">11 — Authenticity and Provenance Policy</w:t>
      </w:r>
    </w:p>
    <w:p>
      <w:pPr>
        <w:keepNext/>
        <w:spacing w:after="100" w:before="240"/>
      </w:pPr>
      <w:r>
        <w:rPr>
          <w:rFonts w:ascii="Georgia" w:cs="Georgia" w:eastAsia="Georgia" w:hAnsi="Georgia"/>
          <w:b/>
          <w:bCs/>
          <w:sz w:val="22"/>
          <w:szCs w:val="22"/>
        </w:rPr>
        <w:t xml:space="preserve">AI-generated and AI-assisted work</w:t>
      </w:r>
    </w:p>
    <w:p>
      <w:pPr>
        <w:spacing w:after="140" w:line="288"/>
        <w:jc w:val="left"/>
      </w:pPr>
      <w:r>
        <w:rPr>
          <w:rFonts w:ascii="Georgia" w:cs="Georgia" w:eastAsia="Georgia" w:hAnsi="Georgia"/>
          <w:sz w:val="21"/>
          <w:szCs w:val="21"/>
        </w:rPr>
        <w:t xml:space="preserve">Confirm. Mirrored in Artist Agreement §5 and the Prohibited &amp; Restricted Items Policy.</w:t>
      </w:r>
    </w:p>
    <w:p>
      <w:pPr>
        <w:keepNext/>
        <w:spacing w:after="140" w:before="360"/>
      </w:pPr>
      <w:r>
        <w:rPr>
          <w:rFonts w:ascii="Georgia" w:cs="Georgia" w:eastAsia="Georgia" w:hAnsi="Georgia"/>
          <w:b/>
          <w:bCs/>
          <w:sz w:val="25"/>
          <w:szCs w:val="25"/>
        </w:rPr>
        <w:t xml:space="preserve">13 — Returns and Refunds Policy</w:t>
      </w:r>
    </w:p>
    <w:p>
      <w:pPr>
        <w:keepNext/>
        <w:spacing w:after="100" w:before="240"/>
      </w:pPr>
      <w:r>
        <w:rPr>
          <w:rFonts w:ascii="Georgia" w:cs="Georgia" w:eastAsia="Georgia" w:hAnsi="Georgia"/>
          <w:b/>
          <w:bCs/>
          <w:sz w:val="22"/>
          <w:szCs w:val="22"/>
        </w:rPr>
        <w:t xml:space="preserve">The short version</w:t>
      </w:r>
    </w:p>
    <w:p>
      <w:pPr>
        <w:spacing w:after="140" w:line="288"/>
        <w:jc w:val="left"/>
      </w:pPr>
      <w:r>
        <w:rPr>
          <w:rFonts w:ascii="Georgia" w:cs="Georgia" w:eastAsia="Georgia" w:hAnsi="Georgia"/>
          <w:sz w:val="21"/>
          <w:szCs w:val="21"/>
        </w:rPr>
        <w:t xml:space="preserve">The service-fee carve-out and the never-shipped ground are new, and the refund code does not implement either yet. See the note in Terms of Sale §2. Do not publish this document ahead of that change.</w:t>
      </w:r>
    </w:p>
    <w:p>
      <w:pPr>
        <w:keepNext/>
        <w:spacing w:after="100" w:before="240"/>
      </w:pPr>
      <w:r>
        <w:rPr>
          <w:rFonts w:ascii="Georgia" w:cs="Georgia" w:eastAsia="Georgia" w:hAnsi="Georgia"/>
          <w:b/>
          <w:bCs/>
          <w:sz w:val="22"/>
          <w:szCs w:val="22"/>
        </w:rPr>
        <w:t xml:space="preserve">Damaged or not as described</w:t>
      </w:r>
    </w:p>
    <w:p>
      <w:pPr>
        <w:spacing w:after="140" w:line="288"/>
        <w:jc w:val="left"/>
      </w:pPr>
      <w:r>
        <w:rPr>
          <w:rFonts w:ascii="Georgia" w:cs="Georgia" w:eastAsia="Georgia" w:hAnsi="Georgia"/>
          <w:sz w:val="21"/>
          <w:szCs w:val="21"/>
        </w:rPr>
        <w:t xml:space="preserve">Confirm. The alternative — leaving it entirely to the artist — pushes the buyer to a chargeback, which is slower for them, worse for the artist, and damaging to Custom Canvas's card-network standing. This also needs to be reflected in the Artist Agreement §8, which currently says approval is the artist's decision "except where we must act on a card network's determination or a legal obligation" — that carve-out should be widened to include substantiated misdescription.</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Decisions Required from Counsel</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2026-08-25T22:19:19.709Z</dcterms:created>
  <dcterms:modified xsi:type="dcterms:W3CDTF">2026-08-25T22:19:19.709Z</dcterms:modified>
</cp:coreProperties>
</file>

<file path=docProps/custom.xml><?xml version="1.0" encoding="utf-8"?>
<Properties xmlns="http://schemas.openxmlformats.org/officeDocument/2006/custom-properties" xmlns:vt="http://schemas.openxmlformats.org/officeDocument/2006/docPropsVTypes"/>
</file>