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4A5456"/>
          <w:spacing w:val="60"/>
          <w:sz w:val="17"/>
          <w:szCs w:val="17"/>
        </w:rPr>
        <w:t xml:space="preserve">CUSTOM CANVAS LLC</w:t>
      </w:r>
    </w:p>
    <w:p>
      <w:pPr>
        <w:spacing w:after="120"/>
      </w:pPr>
      <w:r>
        <w:rPr>
          <w:rFonts w:ascii="Georgia" w:cs="Georgia" w:eastAsia="Georgia" w:hAnsi="Georgia"/>
          <w:b/>
          <w:bCs/>
          <w:sz w:val="40"/>
          <w:szCs w:val="40"/>
        </w:rPr>
        <w:t xml:space="preserve">Coverage Review and Gap Analysis</w:t>
      </w:r>
    </w:p>
    <w:p>
      <w:pPr>
        <w:pBdr>
          <w:bottom w:val="single" w:color="C4CACB" w:sz="6" w:space="10"/>
        </w:pBdr>
        <w:spacing w:after="60"/>
      </w:pPr>
      <w:r>
        <w:rPr>
          <w:rFonts w:ascii="Georgia" w:cs="Georgia" w:eastAsia="Georgia" w:hAnsi="Georgia"/>
          <w:color w:val="4A5456"/>
          <w:sz w:val="20"/>
          <w:szCs w:val="20"/>
        </w:rPr>
        <w:t xml:space="preserve">Prepared for counsel review</w:t>
      </w:r>
    </w:p>
    <w:p>
      <w:pPr>
        <w:spacing w:after="200"/>
      </w:pPr>
    </w:p>
    <w:p>
      <w:pPr>
        <w:spacing w:after="140" w:line="288"/>
        <w:jc w:val="left"/>
      </w:pPr>
      <w:r>
        <w:rPr>
          <w:rFonts w:ascii="Georgia" w:cs="Georgia" w:eastAsia="Georgia" w:hAnsi="Georgia"/>
          <w:sz w:val="21"/>
          <w:szCs w:val="21"/>
        </w:rPr>
        <w:t xml:space="preserve">This memorandum identifies obligations that the accompanying document set does not presently address. It was prepared from published statutory text, regulatory guidance and practitioner commentary current to 2026. It was not prepared by a lawyer and is not legal advice; it is a structured list of questions, offered so that counsel's time goes to judgement rather than to discovery.</w:t>
      </w:r>
    </w:p>
    <w:p>
      <w:pPr>
        <w:spacing w:after="140" w:line="288"/>
        <w:jc w:val="left"/>
      </w:pPr>
      <w:r>
        <w:rPr>
          <w:rFonts w:ascii="Georgia" w:cs="Georgia" w:eastAsia="Georgia" w:hAnsi="Georgia"/>
          <w:sz w:val="21"/>
          <w:szCs w:val="21"/>
        </w:rPr>
        <w:t xml:space="preserve">One structural fact drives most of what follows. </w:t>
      </w:r>
      <w:r>
        <w:rPr>
          <w:rFonts w:ascii="Georgia" w:cs="Georgia" w:eastAsia="Georgia" w:hAnsi="Georgia"/>
          <w:b/>
          <w:bCs/>
          <w:sz w:val="21"/>
          <w:szCs w:val="21"/>
        </w:rPr>
        <w:t xml:space="preserve">Custom Canvas is the merchant of record.</w:t>
      </w:r>
      <w:r>
        <w:rPr>
          <w:rFonts w:ascii="Georgia" w:cs="Georgia" w:eastAsia="Georgia" w:hAnsi="Georgia"/>
          <w:sz w:val="21"/>
          <w:szCs w:val="21"/>
        </w:rPr>
        <w:t xml:space="preserve"> It charges the buyer, sets and collects the fee, remits the tax, and appears on the card statement. For most federal and state consumer-protection purposes Custom Canvas is therefore the seller, even though the artist controls the goods, the description and the shipment. Nearly every gap below arises from that mismatch between legal responsibility and operational control.</w:t>
      </w:r>
    </w:p>
    <w:p>
      <w:pPr>
        <w:keepNext/>
        <w:spacing w:after="140" w:before="360"/>
      </w:pPr>
      <w:r>
        <w:rPr>
          <w:rFonts w:ascii="Georgia" w:cs="Georgia" w:eastAsia="Georgia" w:hAnsi="Georgia"/>
          <w:b/>
          <w:bCs/>
          <w:sz w:val="25"/>
          <w:szCs w:val="25"/>
        </w:rP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2"/>
        <w:gridCol w:w="4274"/>
        <w:gridCol w:w="2874"/>
        <w:gridCol w:w="1770"/>
      </w:tblGrid>
      <w:tr>
        <w:trPr>
          <w:tblHeader/>
        </w:trPr>
        <w:tc>
          <w:tcPr>
            <w:tcW w:type="dxa" w:w="442"/>
            <w:shd w:fill="EDEFEF" w:val="clear"/>
            <w:tcMar>
              <w:top w:type="dxa" w:w="90"/>
              <w:left w:type="dxa" w:w="120"/>
              <w:bottom w:type="dxa" w:w="90"/>
              <w:right w:type="dxa" w:w="120"/>
            </w:tcMar>
          </w:tcPr>
          <w:p>
            <w:pPr>
              <w:spacing w:after="0" w:line="264"/>
            </w:pPr>
            <w:r>
              <w:rPr>
                <w:rFonts w:ascii="Georgia" w:cs="Georgia" w:eastAsia="Georgia" w:hAnsi="Georgia"/>
                <w:b/>
                <w:bCs/>
                <w:sz w:val="19"/>
                <w:szCs w:val="19"/>
              </w:rPr>
              <w:t xml:space="preserve">#</w:t>
            </w:r>
          </w:p>
        </w:tc>
        <w:tc>
          <w:tcPr>
            <w:tcW w:type="dxa" w:w="4274"/>
            <w:shd w:fill="EDEFEF" w:val="clear"/>
            <w:tcMar>
              <w:top w:type="dxa" w:w="90"/>
              <w:left w:type="dxa" w:w="120"/>
              <w:bottom w:type="dxa" w:w="90"/>
              <w:right w:type="dxa" w:w="120"/>
            </w:tcMar>
          </w:tcPr>
          <w:p>
            <w:pPr>
              <w:spacing w:after="0" w:line="264"/>
            </w:pPr>
            <w:r>
              <w:rPr>
                <w:rFonts w:ascii="Georgia" w:cs="Georgia" w:eastAsia="Georgia" w:hAnsi="Georgia"/>
                <w:b/>
                <w:bCs/>
                <w:sz w:val="19"/>
                <w:szCs w:val="19"/>
              </w:rPr>
              <w:t xml:space="preserve">Item</w:t>
            </w:r>
          </w:p>
        </w:tc>
        <w:tc>
          <w:tcPr>
            <w:tcW w:type="dxa" w:w="2874"/>
            <w:shd w:fill="EDEFEF" w:val="clear"/>
            <w:tcMar>
              <w:top w:type="dxa" w:w="90"/>
              <w:left w:type="dxa" w:w="120"/>
              <w:bottom w:type="dxa" w:w="90"/>
              <w:right w:type="dxa" w:w="120"/>
            </w:tcMar>
          </w:tcPr>
          <w:p>
            <w:pPr>
              <w:spacing w:after="0" w:line="264"/>
            </w:pPr>
            <w:r>
              <w:rPr>
                <w:rFonts w:ascii="Georgia" w:cs="Georgia" w:eastAsia="Georgia" w:hAnsi="Georgia"/>
                <w:b/>
                <w:bCs/>
                <w:sz w:val="19"/>
                <w:szCs w:val="19"/>
              </w:rPr>
              <w:t xml:space="preserve">Status</w:t>
            </w:r>
          </w:p>
        </w:tc>
        <w:tc>
          <w:tcPr>
            <w:tcW w:type="dxa" w:w="1770"/>
            <w:shd w:fill="EDEFEF" w:val="clear"/>
            <w:tcMar>
              <w:top w:type="dxa" w:w="90"/>
              <w:left w:type="dxa" w:w="120"/>
              <w:bottom w:type="dxa" w:w="90"/>
              <w:right w:type="dxa" w:w="120"/>
            </w:tcMar>
          </w:tcPr>
          <w:p>
            <w:pPr>
              <w:spacing w:after="0" w:line="264"/>
            </w:pPr>
            <w:r>
              <w:rPr>
                <w:rFonts w:ascii="Georgia" w:cs="Georgia" w:eastAsia="Georgia" w:hAnsi="Georgia"/>
                <w:b/>
                <w:bCs/>
                <w:sz w:val="19"/>
                <w:szCs w:val="19"/>
              </w:rPr>
              <w:t xml:space="preserve">Before launch?</w:t>
            </w:r>
          </w:p>
        </w:tc>
      </w:tr>
      <w:tr>
        <w:trPr>
          <w:tblHeader w:val="false"/>
        </w:trPr>
        <w:tc>
          <w:tcPr>
            <w:tcW w:type="dxa" w:w="442"/>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1</w:t>
            </w:r>
          </w:p>
        </w:tc>
        <w:tc>
          <w:tcPr>
            <w:tcW w:type="dxa" w:w="427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All-in pricing and the service fee</w:t>
            </w:r>
          </w:p>
        </w:tc>
        <w:tc>
          <w:tcPr>
            <w:tcW w:type="dxa" w:w="287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Required as to California buyers</w:t>
            </w:r>
          </w:p>
        </w:tc>
        <w:tc>
          <w:tcPr>
            <w:tcW w:type="dxa" w:w="1770"/>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Yes</w:t>
            </w:r>
          </w:p>
        </w:tc>
      </w:tr>
      <w:tr>
        <w:trPr>
          <w:tblHeader w:val="false"/>
        </w:trPr>
        <w:tc>
          <w:tcPr>
            <w:tcW w:type="dxa" w:w="442"/>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2</w:t>
            </w:r>
          </w:p>
        </w:tc>
        <w:tc>
          <w:tcPr>
            <w:tcW w:type="dxa" w:w="427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Texas marketplace provider certification to sellers</w:t>
            </w:r>
          </w:p>
        </w:tc>
        <w:tc>
          <w:tcPr>
            <w:tcW w:type="dxa" w:w="287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Required</w:t>
            </w:r>
          </w:p>
        </w:tc>
        <w:tc>
          <w:tcPr>
            <w:tcW w:type="dxa" w:w="1770"/>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Yes</w:t>
            </w:r>
          </w:p>
        </w:tc>
      </w:tr>
      <w:tr>
        <w:trPr>
          <w:tblHeader w:val="false"/>
        </w:trPr>
        <w:tc>
          <w:tcPr>
            <w:tcW w:type="dxa" w:w="442"/>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3</w:t>
            </w:r>
          </w:p>
        </w:tc>
        <w:tc>
          <w:tcPr>
            <w:tcW w:type="dxa" w:w="427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Seller tax information: W-9, backup withholding, 1099</w:t>
            </w:r>
          </w:p>
        </w:tc>
        <w:tc>
          <w:tcPr>
            <w:tcW w:type="dxa" w:w="287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Required</w:t>
            </w:r>
          </w:p>
        </w:tc>
        <w:tc>
          <w:tcPr>
            <w:tcW w:type="dxa" w:w="1770"/>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Yes</w:t>
            </w:r>
          </w:p>
        </w:tc>
      </w:tr>
      <w:tr>
        <w:trPr>
          <w:tblHeader w:val="false"/>
        </w:trPr>
        <w:tc>
          <w:tcPr>
            <w:tcW w:type="dxa" w:w="442"/>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4</w:t>
            </w:r>
          </w:p>
        </w:tc>
        <w:tc>
          <w:tcPr>
            <w:tcW w:type="dxa" w:w="427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Texas Data Privacy and Security Act</w:t>
            </w:r>
          </w:p>
        </w:tc>
        <w:tc>
          <w:tcPr>
            <w:tcW w:type="dxa" w:w="287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Required</w:t>
            </w:r>
          </w:p>
        </w:tc>
        <w:tc>
          <w:tcPr>
            <w:tcW w:type="dxa" w:w="1770"/>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Yes</w:t>
            </w:r>
          </w:p>
        </w:tc>
      </w:tr>
      <w:tr>
        <w:trPr>
          <w:tblHeader w:val="false"/>
        </w:trPr>
        <w:tc>
          <w:tcPr>
            <w:tcW w:type="dxa" w:w="442"/>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5</w:t>
            </w:r>
          </w:p>
        </w:tc>
        <w:tc>
          <w:tcPr>
            <w:tcW w:type="dxa" w:w="427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FTC Mail Order Rule and the 30-day shipping default</w:t>
            </w:r>
          </w:p>
        </w:tc>
        <w:tc>
          <w:tcPr>
            <w:tcW w:type="dxa" w:w="287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Required</w:t>
            </w:r>
          </w:p>
        </w:tc>
        <w:tc>
          <w:tcPr>
            <w:tcW w:type="dxa" w:w="1770"/>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Yes</w:t>
            </w:r>
          </w:p>
        </w:tc>
      </w:tr>
      <w:tr>
        <w:trPr>
          <w:tblHeader w:val="false"/>
        </w:trPr>
        <w:tc>
          <w:tcPr>
            <w:tcW w:type="dxa" w:w="442"/>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6</w:t>
            </w:r>
          </w:p>
        </w:tc>
        <w:tc>
          <w:tcPr>
            <w:tcW w:type="dxa" w:w="427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DMCA designated agent registration</w:t>
            </w:r>
          </w:p>
        </w:tc>
        <w:tc>
          <w:tcPr>
            <w:tcW w:type="dxa" w:w="287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Required for the safe harbour</w:t>
            </w:r>
          </w:p>
        </w:tc>
        <w:tc>
          <w:tcPr>
            <w:tcW w:type="dxa" w:w="1770"/>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Yes</w:t>
            </w:r>
          </w:p>
        </w:tc>
      </w:tr>
      <w:tr>
        <w:trPr>
          <w:tblHeader w:val="false"/>
        </w:trPr>
        <w:tc>
          <w:tcPr>
            <w:tcW w:type="dxa" w:w="442"/>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7</w:t>
            </w:r>
          </w:p>
        </w:tc>
        <w:tc>
          <w:tcPr>
            <w:tcW w:type="dxa" w:w="427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Editions and multiples: California and New York disclosure</w:t>
            </w:r>
          </w:p>
        </w:tc>
        <w:tc>
          <w:tcPr>
            <w:tcW w:type="dxa" w:w="287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Required if editions are listed</w:t>
            </w:r>
          </w:p>
        </w:tc>
        <w:tc>
          <w:tcPr>
            <w:tcW w:type="dxa" w:w="1770"/>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Yes, as a scope decision</w:t>
            </w:r>
          </w:p>
        </w:tc>
      </w:tr>
      <w:tr>
        <w:trPr>
          <w:tblHeader w:val="false"/>
        </w:trPr>
        <w:tc>
          <w:tcPr>
            <w:tcW w:type="dxa" w:w="442"/>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8</w:t>
            </w:r>
          </w:p>
        </w:tc>
        <w:tc>
          <w:tcPr>
            <w:tcW w:type="dxa" w:w="427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International shipping and the EU/UK compliance stack</w:t>
            </w:r>
          </w:p>
        </w:tc>
        <w:tc>
          <w:tcPr>
            <w:tcW w:type="dxa" w:w="287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Business decision</w:t>
            </w:r>
          </w:p>
        </w:tc>
        <w:tc>
          <w:tcPr>
            <w:tcW w:type="dxa" w:w="1770"/>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Yes</w:t>
            </w:r>
          </w:p>
        </w:tc>
      </w:tr>
      <w:tr>
        <w:trPr>
          <w:tblHeader w:val="false"/>
        </w:trPr>
        <w:tc>
          <w:tcPr>
            <w:tcW w:type="dxa" w:w="442"/>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9</w:t>
            </w:r>
          </w:p>
        </w:tc>
        <w:tc>
          <w:tcPr>
            <w:tcW w:type="dxa" w:w="427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Texas DTPA waiver</w:t>
            </w:r>
          </w:p>
        </w:tc>
        <w:tc>
          <w:tcPr>
            <w:tcW w:type="dxa" w:w="287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Likely unenforceable as drafted</w:t>
            </w:r>
          </w:p>
        </w:tc>
        <w:tc>
          <w:tcPr>
            <w:tcW w:type="dxa" w:w="1770"/>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Yes</w:t>
            </w:r>
          </w:p>
        </w:tc>
      </w:tr>
      <w:tr>
        <w:trPr>
          <w:tblHeader w:val="false"/>
        </w:trPr>
        <w:tc>
          <w:tcPr>
            <w:tcW w:type="dxa" w:w="442"/>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10</w:t>
            </w:r>
          </w:p>
        </w:tc>
        <w:tc>
          <w:tcPr>
            <w:tcW w:type="dxa" w:w="427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Email and SMS consent</w:t>
            </w:r>
          </w:p>
        </w:tc>
        <w:tc>
          <w:tcPr>
            <w:tcW w:type="dxa" w:w="287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Required if marketing messages are sent</w:t>
            </w:r>
          </w:p>
        </w:tc>
        <w:tc>
          <w:tcPr>
            <w:tcW w:type="dxa" w:w="1770"/>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If applicable</w:t>
            </w:r>
          </w:p>
        </w:tc>
      </w:tr>
      <w:tr>
        <w:trPr>
          <w:tblHeader w:val="false"/>
        </w:trPr>
        <w:tc>
          <w:tcPr>
            <w:tcW w:type="dxa" w:w="442"/>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11</w:t>
            </w:r>
          </w:p>
        </w:tc>
        <w:tc>
          <w:tcPr>
            <w:tcW w:type="dxa" w:w="427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INFORM Consumers Act</w:t>
            </w:r>
          </w:p>
        </w:tc>
        <w:tc>
          <w:tcPr>
            <w:tcW w:type="dxa" w:w="287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Marketplace duties in force now</w:t>
            </w:r>
          </w:p>
        </w:tc>
        <w:tc>
          <w:tcPr>
            <w:tcW w:type="dxa" w:w="1770"/>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Contractual hooks only</w:t>
            </w:r>
          </w:p>
        </w:tc>
      </w:tr>
      <w:tr>
        <w:trPr>
          <w:tblHeader w:val="false"/>
        </w:trPr>
        <w:tc>
          <w:tcPr>
            <w:tcW w:type="dxa" w:w="442"/>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12</w:t>
            </w:r>
          </w:p>
        </w:tc>
        <w:tc>
          <w:tcPr>
            <w:tcW w:type="dxa" w:w="427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Enforcement, suspension and appeals process</w:t>
            </w:r>
          </w:p>
        </w:tc>
        <w:tc>
          <w:tcPr>
            <w:tcW w:type="dxa" w:w="287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Required for the DMCA safe harbour</w:t>
            </w:r>
          </w:p>
        </w:tc>
        <w:tc>
          <w:tcPr>
            <w:tcW w:type="dxa" w:w="1770"/>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90 days</w:t>
            </w:r>
          </w:p>
        </w:tc>
      </w:tr>
      <w:tr>
        <w:trPr>
          <w:tblHeader w:val="false"/>
        </w:trPr>
        <w:tc>
          <w:tcPr>
            <w:tcW w:type="dxa" w:w="442"/>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13</w:t>
            </w:r>
          </w:p>
        </w:tc>
        <w:tc>
          <w:tcPr>
            <w:tcW w:type="dxa" w:w="427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Consumer reviews rule</w:t>
            </w:r>
          </w:p>
        </w:tc>
        <w:tc>
          <w:tcPr>
            <w:tcW w:type="dxa" w:w="287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Required if reviews exist</w:t>
            </w:r>
          </w:p>
        </w:tc>
        <w:tc>
          <w:tcPr>
            <w:tcW w:type="dxa" w:w="1770"/>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90 days</w:t>
            </w:r>
          </w:p>
        </w:tc>
      </w:tr>
      <w:tr>
        <w:trPr>
          <w:tblHeader w:val="false"/>
        </w:trPr>
        <w:tc>
          <w:tcPr>
            <w:tcW w:type="dxa" w:w="442"/>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14</w:t>
            </w:r>
          </w:p>
        </w:tc>
        <w:tc>
          <w:tcPr>
            <w:tcW w:type="dxa" w:w="427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Artist consignment characterisation</w:t>
            </w:r>
          </w:p>
        </w:tc>
        <w:tc>
          <w:tcPr>
            <w:tcW w:type="dxa" w:w="287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Best practice, scales with geography</w:t>
            </w:r>
          </w:p>
        </w:tc>
        <w:tc>
          <w:tcPr>
            <w:tcW w:type="dxa" w:w="1770"/>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90 days</w:t>
            </w:r>
          </w:p>
        </w:tc>
      </w:tr>
      <w:tr>
        <w:trPr>
          <w:tblHeader w:val="false"/>
        </w:trPr>
        <w:tc>
          <w:tcPr>
            <w:tcW w:type="dxa" w:w="442"/>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15</w:t>
            </w:r>
          </w:p>
        </w:tc>
        <w:tc>
          <w:tcPr>
            <w:tcW w:type="dxa" w:w="427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Messaging monitoring disclosure</w:t>
            </w:r>
          </w:p>
        </w:tc>
        <w:tc>
          <w:tcPr>
            <w:tcW w:type="dxa" w:w="287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Litigation exposure</w:t>
            </w:r>
          </w:p>
        </w:tc>
        <w:tc>
          <w:tcPr>
            <w:tcW w:type="dxa" w:w="1770"/>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90 days</w:t>
            </w:r>
          </w:p>
        </w:tc>
      </w:tr>
      <w:tr>
        <w:trPr>
          <w:tblHeader w:val="false"/>
        </w:trPr>
        <w:tc>
          <w:tcPr>
            <w:tcW w:type="dxa" w:w="442"/>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16</w:t>
            </w:r>
          </w:p>
        </w:tc>
        <w:tc>
          <w:tcPr>
            <w:tcW w:type="dxa" w:w="427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Incident response plan</w:t>
            </w:r>
          </w:p>
        </w:tc>
        <w:tc>
          <w:tcPr>
            <w:tcW w:type="dxa" w:w="287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Underlying duty is required</w:t>
            </w:r>
          </w:p>
        </w:tc>
        <w:tc>
          <w:tcPr>
            <w:tcW w:type="dxa" w:w="1770"/>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90 days</w:t>
            </w:r>
          </w:p>
        </w:tc>
      </w:tr>
      <w:tr>
        <w:trPr>
          <w:tblHeader w:val="false"/>
        </w:trPr>
        <w:tc>
          <w:tcPr>
            <w:tcW w:type="dxa" w:w="442"/>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17</w:t>
            </w:r>
          </w:p>
        </w:tc>
        <w:tc>
          <w:tcPr>
            <w:tcW w:type="dxa" w:w="427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Accessibility statement</w:t>
            </w:r>
          </w:p>
        </w:tc>
        <w:tc>
          <w:tcPr>
            <w:tcW w:type="dxa" w:w="2874"/>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Best practice</w:t>
            </w:r>
          </w:p>
        </w:tc>
        <w:tc>
          <w:tcPr>
            <w:tcW w:type="dxa" w:w="1770"/>
            <w:tcMar>
              <w:top w:type="dxa" w:w="90"/>
              <w:left w:type="dxa" w:w="120"/>
              <w:bottom w:type="dxa" w:w="90"/>
              <w:right w:type="dxa" w:w="120"/>
            </w:tcMar>
          </w:tcPr>
          <w:p>
            <w:pPr>
              <w:spacing w:after="0" w:line="264"/>
            </w:pPr>
            <w:r>
              <w:rPr>
                <w:rFonts w:ascii="Georgia" w:cs="Georgia" w:eastAsia="Georgia" w:hAnsi="Georgia"/>
                <w:b w:val="false"/>
                <w:bCs w:val="false"/>
                <w:sz w:val="19"/>
                <w:szCs w:val="19"/>
              </w:rPr>
              <w:t xml:space="preserve">Optional</w:t>
            </w:r>
          </w:p>
        </w:tc>
      </w:tr>
    </w:tbl>
    <w:p>
      <w:pPr>
        <w:spacing w:after="140"/>
      </w:pPr>
    </w:p>
    <w:p>
      <w:pPr>
        <w:keepNext/>
        <w:spacing w:after="140" w:before="360"/>
      </w:pPr>
      <w:r>
        <w:rPr>
          <w:rFonts w:ascii="Georgia" w:cs="Georgia" w:eastAsia="Georgia" w:hAnsi="Georgia"/>
          <w:b/>
          <w:bCs/>
          <w:sz w:val="25"/>
          <w:szCs w:val="25"/>
        </w:rPr>
        <w:t xml:space="preserve">1. All-in pricing and the mandatory service fee</w:t>
      </w:r>
    </w:p>
    <w:p>
      <w:pPr>
        <w:spacing w:after="140" w:line="288"/>
        <w:jc w:val="left"/>
      </w:pPr>
      <w:r>
        <w:rPr>
          <w:rFonts w:ascii="Georgia" w:cs="Georgia" w:eastAsia="Georgia" w:hAnsi="Georgia"/>
          <w:sz w:val="21"/>
          <w:szCs w:val="21"/>
        </w:rPr>
        <w:t xml:space="preserve">California's Honest Pricing Law (SB 478, in effect 1 July 2024) requires that an advertised price include every mandatory fee. Government taxes and reasonable shipping are excluded; a mandatory platform service fee is not. Minnesota, Virginia and Massachusetts have parallel regimes, and Colorado and Connecticut come into effect during 2026.</w:t>
      </w:r>
    </w:p>
    <w:p>
      <w:pPr>
        <w:spacing w:after="140" w:line="288"/>
        <w:jc w:val="left"/>
      </w:pPr>
      <w:r>
        <w:rPr>
          <w:rFonts w:ascii="Georgia" w:cs="Georgia" w:eastAsia="Georgia" w:hAnsi="Georgia"/>
          <w:sz w:val="21"/>
          <w:szCs w:val="21"/>
        </w:rPr>
        <w:t xml:space="preserve">The service fee described in the Terms of Sale is charged on every order and is not optional. As presently displayed — artwork price first, service fee added at checkout — the advertised price is not the all-in price.</w:t>
      </w:r>
    </w:p>
    <w:p>
      <w:pPr>
        <w:spacing w:after="140" w:line="288"/>
        <w:jc w:val="left"/>
      </w:pPr>
      <w:r>
        <w:rPr>
          <w:rFonts w:ascii="Georgia" w:cs="Georgia" w:eastAsia="Georgia" w:hAnsi="Georgia"/>
          <w:b/>
          <w:bCs/>
          <w:sz w:val="21"/>
          <w:szCs w:val="21"/>
        </w:rPr>
        <w:t xml:space="preserve">This is not curable by disclosure.</w:t>
      </w:r>
      <w:r>
        <w:rPr>
          <w:rFonts w:ascii="Georgia" w:cs="Georgia" w:eastAsia="Georgia" w:hAnsi="Georgia"/>
          <w:sz w:val="21"/>
          <w:szCs w:val="21"/>
        </w:rPr>
        <w:t xml:space="preserve"> The requirement runs to the advertised figure, not to whether the fee is explained. The remedies are to display prices inclusive of the fee, or to fold the fee into the commission and stop charging it separately.</w:t>
      </w:r>
    </w:p>
    <w:p>
      <w:pPr>
        <w:spacing w:after="140" w:line="288"/>
        <w:jc w:val="left"/>
      </w:pPr>
      <w:r>
        <w:rPr>
          <w:rFonts w:ascii="Georgia" w:cs="Georgia" w:eastAsia="Georgia" w:hAnsi="Georgia"/>
          <w:sz w:val="21"/>
          <w:szCs w:val="21"/>
        </w:rPr>
        <w:t xml:space="preserve">The trigger is a single California buyer. There is no revenue or transaction threshold, and the law is enforceable through California's Unfair Competition Law and Consumers Legal Remedies Act, with class exposure.</w:t>
      </w:r>
    </w:p>
    <w:p>
      <w:pPr>
        <w:spacing w:after="140" w:line="288"/>
        <w:jc w:val="left"/>
      </w:pPr>
      <w:r>
        <w:rPr>
          <w:rFonts w:ascii="Georgia" w:cs="Georgia" w:eastAsia="Georgia" w:hAnsi="Georgia"/>
          <w:sz w:val="21"/>
          <w:szCs w:val="21"/>
        </w:rPr>
        <w:t xml:space="preserve">Note also that the FTC's Rule on Unfair or Deceptive Fees (16 CFR 464) reaches only live-event ticketing and short-term lodging, and does not apply here. The exposure is entirely at state level.</w:t>
      </w:r>
    </w:p>
    <w:p>
      <w:pPr>
        <w:spacing w:after="140" w:line="288"/>
        <w:jc w:val="left"/>
      </w:pPr>
      <w:r>
        <w:rPr>
          <w:rFonts w:ascii="Georgia" w:cs="Georgia" w:eastAsia="Georgia" w:hAnsi="Georgia"/>
          <w:b/>
          <w:bCs/>
          <w:sz w:val="21"/>
          <w:szCs w:val="21"/>
        </w:rPr>
        <w:t xml:space="preserve">Separately for the accountant:</w:t>
      </w:r>
      <w:r>
        <w:rPr>
          <w:rFonts w:ascii="Georgia" w:cs="Georgia" w:eastAsia="Georgia" w:hAnsi="Georgia"/>
          <w:sz w:val="21"/>
          <w:szCs w:val="21"/>
        </w:rPr>
        <w:t xml:space="preserve"> confirm whether the service fee forms part of the "sales price" for Texas sales tax purposes. If it does, it must be taxed, and mis-taxing it is itself a Deceptive Trade Practices Act exposure.</w:t>
      </w:r>
    </w:p>
    <w:p>
      <w:pPr>
        <w:keepNext/>
        <w:spacing w:after="140" w:before="360"/>
      </w:pPr>
      <w:r>
        <w:rPr>
          <w:rFonts w:ascii="Georgia" w:cs="Georgia" w:eastAsia="Georgia" w:hAnsi="Georgia"/>
          <w:b/>
          <w:bCs/>
          <w:sz w:val="25"/>
          <w:szCs w:val="25"/>
        </w:rPr>
        <w:t xml:space="preserve">2. Texas marketplace provider certification</w:t>
      </w:r>
    </w:p>
    <w:p>
      <w:pPr>
        <w:spacing w:after="140" w:line="288"/>
        <w:jc w:val="left"/>
      </w:pPr>
      <w:r>
        <w:rPr>
          <w:rFonts w:ascii="Georgia" w:cs="Georgia" w:eastAsia="Georgia" w:hAnsi="Georgia"/>
          <w:sz w:val="21"/>
          <w:szCs w:val="21"/>
        </w:rPr>
        <w:t xml:space="preserve">Texas Tax Code § 151.0242 requires a marketplace provider to </w:t>
      </w:r>
      <w:r>
        <w:rPr>
          <w:rFonts w:ascii="Georgia" w:cs="Georgia" w:eastAsia="Georgia" w:hAnsi="Georgia"/>
          <w:b/>
          <w:bCs/>
          <w:sz w:val="21"/>
          <w:szCs w:val="21"/>
        </w:rPr>
        <w:t xml:space="preserve">certify to its marketplace sellers</w:t>
      </w:r>
      <w:r>
        <w:rPr>
          <w:rFonts w:ascii="Georgia" w:cs="Georgia" w:eastAsia="Georgia" w:hAnsi="Georgia"/>
          <w:sz w:val="21"/>
          <w:szCs w:val="21"/>
        </w:rPr>
        <w:t xml:space="preserve"> that it will collect and remit sales and use tax on their behalf. That certification is the mechanism that relieves the artist of collection responsibility. It is an affirmative statutory duty, and a general statement that the platform collects sales tax is not a certification.</w:t>
      </w:r>
    </w:p>
    <w:p>
      <w:pPr>
        <w:spacing w:after="140" w:line="288"/>
        <w:jc w:val="left"/>
      </w:pPr>
      <w:r>
        <w:rPr>
          <w:rFonts w:ascii="Georgia" w:cs="Georgia" w:eastAsia="Georgia" w:hAnsi="Georgia"/>
          <w:sz w:val="21"/>
          <w:szCs w:val="21"/>
        </w:rPr>
        <w:t xml:space="preserve">Two related points belong in the Artist Agreement: records must be retained for </w:t>
      </w:r>
      <w:r>
        <w:rPr>
          <w:rFonts w:ascii="Georgia" w:cs="Georgia" w:eastAsia="Georgia" w:hAnsi="Georgia"/>
          <w:b/>
          <w:bCs/>
          <w:sz w:val="21"/>
          <w:szCs w:val="21"/>
        </w:rPr>
        <w:t xml:space="preserve">four years</w:t>
      </w:r>
      <w:r>
        <w:rPr>
          <w:rFonts w:ascii="Georgia" w:cs="Georgia" w:eastAsia="Georgia" w:hAnsi="Georgia"/>
          <w:sz w:val="21"/>
          <w:szCs w:val="21"/>
        </w:rPr>
        <w:t xml:space="preserve">, and Texas artists must still hold a Texas sales and use tax permit and file returns even where every sale runs through the marketplace. Artists routinely do not know the second.</w:t>
      </w:r>
    </w:p>
    <w:p>
      <w:pPr>
        <w:keepNext/>
        <w:spacing w:after="140" w:before="360"/>
      </w:pPr>
      <w:r>
        <w:rPr>
          <w:rFonts w:ascii="Georgia" w:cs="Georgia" w:eastAsia="Georgia" w:hAnsi="Georgia"/>
          <w:b/>
          <w:bCs/>
          <w:sz w:val="25"/>
          <w:szCs w:val="25"/>
        </w:rPr>
        <w:t xml:space="preserve">3. Seller tax information</w:t>
      </w:r>
    </w:p>
    <w:p>
      <w:pPr>
        <w:spacing w:after="140" w:line="288"/>
        <w:jc w:val="left"/>
      </w:pPr>
      <w:r>
        <w:rPr>
          <w:rFonts w:ascii="Georgia" w:cs="Georgia" w:eastAsia="Georgia" w:hAnsi="Georgia"/>
          <w:sz w:val="21"/>
          <w:szCs w:val="21"/>
        </w:rPr>
        <w:t xml:space="preserve">The document set does not address seller tax reporting.</w:t>
      </w:r>
    </w:p>
    <w:p>
      <w:pPr>
        <w:spacing w:after="140" w:line="288"/>
        <w:jc w:val="left"/>
      </w:pPr>
      <w:r>
        <w:rPr>
          <w:rFonts w:ascii="Georgia" w:cs="Georgia" w:eastAsia="Georgia" w:hAnsi="Georgia"/>
          <w:b/>
          <w:bCs/>
          <w:sz w:val="21"/>
          <w:szCs w:val="21"/>
        </w:rPr>
        <w:t xml:space="preserve">1099-K responsibility turns on a Stripe configuration value.</w:t>
      </w:r>
      <w:r>
        <w:rPr>
          <w:rFonts w:ascii="Georgia" w:cs="Georgia" w:eastAsia="Georgia" w:hAnsi="Georgia"/>
          <w:sz w:val="21"/>
          <w:szCs w:val="21"/>
        </w:rPr>
        <w:t xml:space="preserve"> Stripe issues 1099-Ks where </w:t>
      </w:r>
      <w:r>
        <w:rPr>
          <w:rFonts w:ascii="Georgia" w:cs="Georgia" w:eastAsia="Georgia" w:hAnsi="Georgia"/>
          <w:sz w:val="21"/>
          <w:szCs w:val="21"/>
        </w:rPr>
        <w:t xml:space="preserve">controller.fees.payer</w:t>
      </w:r>
      <w:r>
        <w:rPr>
          <w:rFonts w:ascii="Georgia" w:cs="Georgia" w:eastAsia="Georgia" w:hAnsi="Georgia"/>
          <w:sz w:val="21"/>
          <w:szCs w:val="21"/>
        </w:rPr>
        <w:t xml:space="preserve"> is </w:t>
      </w:r>
      <w:r>
        <w:rPr>
          <w:rFonts w:ascii="Georgia" w:cs="Georgia" w:eastAsia="Georgia" w:hAnsi="Georgia"/>
          <w:sz w:val="21"/>
          <w:szCs w:val="21"/>
        </w:rPr>
        <w:t xml:space="preserve">account</w:t>
      </w:r>
      <w:r>
        <w:rPr>
          <w:rFonts w:ascii="Georgia" w:cs="Georgia" w:eastAsia="Georgia" w:hAnsi="Georgia"/>
          <w:sz w:val="21"/>
          <w:szCs w:val="21"/>
        </w:rPr>
        <w:t xml:space="preserve">. Where the platform pays processing fees — which the buyer-paid service fee structure implies — Stripe does not file, and the obligation sits with Custom Canvas. This is a question of fact about the Connect configuration and should be confirmed rather than assumed.</w:t>
      </w:r>
    </w:p>
    <w:p>
      <w:pPr>
        <w:spacing w:after="140" w:line="288"/>
        <w:jc w:val="left"/>
      </w:pPr>
      <w:r>
        <w:rPr>
          <w:rFonts w:ascii="Georgia" w:cs="Georgia" w:eastAsia="Georgia" w:hAnsi="Georgia"/>
          <w:sz w:val="21"/>
          <w:szCs w:val="21"/>
        </w:rPr>
        <w:t xml:space="preserve">The threshold for 2025 and 2026 is </w:t>
      </w:r>
      <w:r>
        <w:rPr>
          <w:rFonts w:ascii="Georgia" w:cs="Georgia" w:eastAsia="Georgia" w:hAnsi="Georgia"/>
          <w:b/>
          <w:bCs/>
          <w:sz w:val="21"/>
          <w:szCs w:val="21"/>
        </w:rPr>
        <w:t xml:space="preserve">more than $20,000 in gross volume and more than 200 transactions</w:t>
      </w:r>
      <w:r>
        <w:rPr>
          <w:rFonts w:ascii="Georgia" w:cs="Georgia" w:eastAsia="Georgia" w:hAnsi="Georgia"/>
          <w:sz w:val="21"/>
          <w:szCs w:val="21"/>
        </w:rPr>
        <w:t xml:space="preserve">, both required, following the restoration of the pre-ARPA threshold. Very few sellers of original artwork will cross it.</w:t>
      </w:r>
    </w:p>
    <w:p>
      <w:pPr>
        <w:spacing w:after="140" w:line="288"/>
        <w:jc w:val="left"/>
      </w:pPr>
      <w:r>
        <w:rPr>
          <w:rFonts w:ascii="Georgia" w:cs="Georgia" w:eastAsia="Georgia" w:hAnsi="Georgia"/>
          <w:b/>
          <w:bCs/>
          <w:sz w:val="21"/>
          <w:szCs w:val="21"/>
        </w:rPr>
        <w:t xml:space="preserve">Independently of any threshold</w:t>
      </w:r>
      <w:r>
        <w:rPr>
          <w:rFonts w:ascii="Georgia" w:cs="Georgia" w:eastAsia="Georgia" w:hAnsi="Georgia"/>
          <w:sz w:val="21"/>
          <w:szCs w:val="21"/>
        </w:rPr>
        <w:t xml:space="preserve">, W-9 collection at onboarding, TIN and name matching, and </w:t>
      </w:r>
      <w:r>
        <w:rPr>
          <w:rFonts w:ascii="Georgia" w:cs="Georgia" w:eastAsia="Georgia" w:hAnsi="Georgia"/>
          <w:b/>
          <w:bCs/>
          <w:sz w:val="21"/>
          <w:szCs w:val="21"/>
        </w:rPr>
        <w:t xml:space="preserve">24% backup withholding</w:t>
      </w:r>
      <w:r>
        <w:rPr>
          <w:rFonts w:ascii="Georgia" w:cs="Georgia" w:eastAsia="Georgia" w:hAnsi="Georgia"/>
          <w:sz w:val="21"/>
          <w:szCs w:val="21"/>
        </w:rPr>
        <w:t xml:space="preserve"> where a valid TIN is not furnished are required, and the liability for failing to withhold falls on the payer. Payments for merchandise are generally excepted from 1099-NEC and 1099-MISC reporting, but whether an 85% remittance is properly characterised as merchandise is worth confirming.</w:t>
      </w:r>
    </w:p>
    <w:p>
      <w:pPr>
        <w:spacing w:after="140" w:line="288"/>
        <w:jc w:val="left"/>
      </w:pPr>
      <w:r>
        <w:rPr>
          <w:rFonts w:ascii="Georgia" w:cs="Georgia" w:eastAsia="Georgia" w:hAnsi="Georgia"/>
          <w:sz w:val="21"/>
          <w:szCs w:val="21"/>
        </w:rPr>
        <w:t xml:space="preserve">Retroactive W-9 collection from artists who have already been paid is materially harder than collecting at onboarding.</w:t>
      </w:r>
    </w:p>
    <w:p>
      <w:pPr>
        <w:keepNext/>
        <w:spacing w:after="140" w:before="360"/>
      </w:pPr>
      <w:r>
        <w:rPr>
          <w:rFonts w:ascii="Georgia" w:cs="Georgia" w:eastAsia="Georgia" w:hAnsi="Georgia"/>
          <w:b/>
          <w:bCs/>
          <w:sz w:val="25"/>
          <w:szCs w:val="25"/>
        </w:rPr>
        <w:t xml:space="preserve">4. Texas Data Privacy and Security Act</w:t>
      </w:r>
    </w:p>
    <w:p>
      <w:pPr>
        <w:spacing w:after="140" w:line="288"/>
        <w:jc w:val="left"/>
      </w:pPr>
      <w:r>
        <w:rPr>
          <w:rFonts w:ascii="Georgia" w:cs="Georgia" w:eastAsia="Georgia" w:hAnsi="Georgia"/>
          <w:sz w:val="21"/>
          <w:szCs w:val="21"/>
        </w:rPr>
        <w:t xml:space="preserve">The Privacy Policy should be reviewed specifically against the TDPSA rather than against the California regime.</w:t>
      </w:r>
    </w:p>
    <w:p>
      <w:pPr>
        <w:spacing w:after="140" w:line="288"/>
        <w:jc w:val="left"/>
      </w:pPr>
      <w:r>
        <w:rPr>
          <w:rFonts w:ascii="Georgia" w:cs="Georgia" w:eastAsia="Georgia" w:hAnsi="Georgia"/>
          <w:b/>
          <w:bCs/>
          <w:sz w:val="21"/>
          <w:szCs w:val="21"/>
        </w:rPr>
        <w:t xml:space="preserve">The California Consumer Privacy Act almost certainly does not apply.</w:t>
      </w:r>
      <w:r>
        <w:rPr>
          <w:rFonts w:ascii="Georgia" w:cs="Georgia" w:eastAsia="Georgia" w:hAnsi="Georgia"/>
          <w:sz w:val="21"/>
          <w:szCs w:val="21"/>
        </w:rPr>
        <w:t xml:space="preserve"> Its 2026 thresholds — $26.625M in annual revenue, or the personal information of 100,000 California consumers or households, or 50% of revenue from selling or sharing personal information — are not met. The California Privacy Protection Agency's automated decision-making, risk assessment and cybersecurity audit regulations apply only to businesses already subject to the CCPA, and so do not reach Custom Canvas either.</w:t>
      </w:r>
    </w:p>
    <w:p>
      <w:pPr>
        <w:spacing w:after="140" w:line="288"/>
        <w:jc w:val="left"/>
      </w:pPr>
      <w:r>
        <w:rPr>
          <w:rFonts w:ascii="Georgia" w:cs="Georgia" w:eastAsia="Georgia" w:hAnsi="Georgia"/>
          <w:b/>
          <w:bCs/>
          <w:sz w:val="21"/>
          <w:szCs w:val="21"/>
        </w:rPr>
        <w:t xml:space="preserve">The TDPSA does apply, and it has no consumer-count or revenue threshold.</w:t>
      </w:r>
      <w:r>
        <w:rPr>
          <w:rFonts w:ascii="Georgia" w:cs="Georgia" w:eastAsia="Georgia" w:hAnsi="Georgia"/>
          <w:sz w:val="21"/>
          <w:szCs w:val="21"/>
        </w:rPr>
        <w:t xml:space="preserve"> It covers any entity conducting business in Texas or producing products or services consumed by Texas residents. The only exemption is for entities meeting the Small Business Administration size standard, and even an exempt small business may not sell sensitive personal data without consent.</w:t>
      </w:r>
    </w:p>
    <w:p>
      <w:pPr>
        <w:spacing w:after="140" w:line="288"/>
        <w:jc w:val="left"/>
      </w:pPr>
      <w:r>
        <w:rPr>
          <w:rFonts w:ascii="Georgia" w:cs="Georgia" w:eastAsia="Georgia" w:hAnsi="Georgia"/>
          <w:sz w:val="21"/>
          <w:szCs w:val="21"/>
        </w:rPr>
        <w:t xml:space="preserve">Three TDPSA-specific requirements should be confirmed as present: the statutorily prescribed verbatim notices where sensitive or biometric data is sold; the nine consumer rights including a right of appeal, with a 45-day response window and one permitted 45-day extension; and </w:t>
      </w:r>
      <w:r>
        <w:rPr>
          <w:rFonts w:ascii="Georgia" w:cs="Georgia" w:eastAsia="Georgia" w:hAnsi="Georgia"/>
          <w:b/>
          <w:bCs/>
          <w:sz w:val="21"/>
          <w:szCs w:val="21"/>
        </w:rPr>
        <w:t xml:space="preserve">recognition of universal opt-out mechanisms including Global Privacy Control, mandatory since 1 January 2025</w:t>
      </w:r>
      <w:r>
        <w:rPr>
          <w:rFonts w:ascii="Georgia" w:cs="Georgia" w:eastAsia="Georgia" w:hAnsi="Georgia"/>
          <w:sz w:val="21"/>
          <w:szCs w:val="21"/>
        </w:rPr>
        <w:t xml:space="preserve">. The last of these is a technical implementation rather than a policy sentence — a cookie policy that describes cookies but does not detect GPC does not satisfy it.</w:t>
      </w:r>
    </w:p>
    <w:p>
      <w:pPr>
        <w:spacing w:after="140" w:line="288"/>
        <w:jc w:val="left"/>
      </w:pPr>
      <w:r>
        <w:rPr>
          <w:rFonts w:ascii="Georgia" w:cs="Georgia" w:eastAsia="Georgia" w:hAnsi="Georgia"/>
          <w:sz w:val="21"/>
          <w:szCs w:val="21"/>
        </w:rPr>
        <w:t xml:space="preserve">Enforcement is by the Texas Attorney General alone, with a 30-day cure period that does not sunset, penalties to $7,500 per violation, and no private right of action.</w:t>
      </w:r>
    </w:p>
    <w:p>
      <w:pPr>
        <w:spacing w:after="140" w:line="288"/>
        <w:jc w:val="left"/>
      </w:pPr>
      <w:r>
        <w:rPr>
          <w:rFonts w:ascii="Georgia" w:cs="Georgia" w:eastAsia="Georgia" w:hAnsi="Georgia"/>
          <w:sz w:val="21"/>
          <w:szCs w:val="21"/>
        </w:rPr>
        <w:t xml:space="preserve">A "Do Not Sell or Share" link is not required at this size, and publishing one that is not honoured would itself be a deceptive practice. Either implement it properly or omit it.</w:t>
      </w:r>
    </w:p>
    <w:p>
      <w:pPr>
        <w:keepNext/>
        <w:spacing w:after="140" w:before="360"/>
      </w:pPr>
      <w:r>
        <w:rPr>
          <w:rFonts w:ascii="Georgia" w:cs="Georgia" w:eastAsia="Georgia" w:hAnsi="Georgia"/>
          <w:b/>
          <w:bCs/>
          <w:sz w:val="25"/>
          <w:szCs w:val="25"/>
        </w:rPr>
        <w:t xml:space="preserve">5. FTC Mail, Internet, or Telephone Order Merchandise Rule</w:t>
      </w:r>
    </w:p>
    <w:p>
      <w:pPr>
        <w:spacing w:after="140" w:line="288"/>
        <w:jc w:val="left"/>
      </w:pPr>
      <w:r>
        <w:rPr>
          <w:rFonts w:ascii="Georgia" w:cs="Georgia" w:eastAsia="Georgia" w:hAnsi="Georgia"/>
          <w:sz w:val="21"/>
          <w:szCs w:val="21"/>
        </w:rPr>
        <w:t xml:space="preserve">Where no shipping time is stated, 16 CFR 435 requires a reasonable basis to ship within </w:t>
      </w:r>
      <w:r>
        <w:rPr>
          <w:rFonts w:ascii="Georgia" w:cs="Georgia" w:eastAsia="Georgia" w:hAnsi="Georgia"/>
          <w:b/>
          <w:bCs/>
          <w:sz w:val="21"/>
          <w:szCs w:val="21"/>
        </w:rPr>
        <w:t xml:space="preserve">30 days</w:t>
      </w:r>
      <w:r>
        <w:rPr>
          <w:rFonts w:ascii="Georgia" w:cs="Georgia" w:eastAsia="Georgia" w:hAnsi="Georgia"/>
          <w:sz w:val="21"/>
          <w:szCs w:val="21"/>
        </w:rPr>
        <w:t xml:space="preserve"> of a properly completed order. Where that cannot be met, a delay option notice must be sent promptly, offering either a definite revised date or cancellation with a full refund, with the cancellation mechanism at the seller's expense. For delays of 30 days or less silence is consent; beyond that, express consent is required or the order must be cancelled and refunded. Refunds are due within seven working days for non-credit payments and within one billing cycle for credit.</w:t>
      </w:r>
    </w:p>
    <w:p>
      <w:pPr>
        <w:spacing w:after="140" w:line="288"/>
        <w:jc w:val="left"/>
      </w:pPr>
      <w:r>
        <w:rPr>
          <w:rFonts w:ascii="Georgia" w:cs="Georgia" w:eastAsia="Georgia" w:hAnsi="Georgia"/>
          <w:b/>
          <w:bCs/>
          <w:sz w:val="21"/>
          <w:szCs w:val="21"/>
        </w:rPr>
        <w:t xml:space="preserve">The rule attaches to the person soliciting the order.</w:t>
      </w:r>
      <w:r>
        <w:rPr>
          <w:rFonts w:ascii="Georgia" w:cs="Georgia" w:eastAsia="Georgia" w:hAnsi="Georgia"/>
          <w:sz w:val="21"/>
          <w:szCs w:val="21"/>
        </w:rPr>
        <w:t xml:space="preserve"> FTC guidance is explicit that a seller remains liable for violations caused by drop shippers and fulfilment houses. As merchant of record, Custom Canvas is the seller; artists ship directly; the liability for their delays is Custom Canvas's.</w:t>
      </w:r>
    </w:p>
    <w:p>
      <w:pPr>
        <w:spacing w:after="140" w:line="288"/>
        <w:jc w:val="left"/>
      </w:pPr>
      <w:r>
        <w:rPr>
          <w:rFonts w:ascii="Georgia" w:cs="Georgia" w:eastAsia="Georgia" w:hAnsi="Georgia"/>
          <w:sz w:val="21"/>
          <w:szCs w:val="21"/>
        </w:rPr>
        <w:t xml:space="preserve">The Shipping Policy should therefore state a shipping window on every listing, so that the 30-day default does not silently govern. The Artist Agreement should carry a corresponding ship-by obligation, tracking upload requirement, and indemnity. The delay notice itself should be automated.</w:t>
      </w:r>
    </w:p>
    <w:p>
      <w:pPr>
        <w:keepNext/>
        <w:spacing w:after="140" w:before="360"/>
      </w:pPr>
      <w:r>
        <w:rPr>
          <w:rFonts w:ascii="Georgia" w:cs="Georgia" w:eastAsia="Georgia" w:hAnsi="Georgia"/>
          <w:b/>
          <w:bCs/>
          <w:sz w:val="25"/>
          <w:szCs w:val="25"/>
        </w:rPr>
        <w:t xml:space="preserve">6. DMCA designated agent registration</w:t>
      </w:r>
    </w:p>
    <w:p>
      <w:pPr>
        <w:spacing w:after="140" w:line="288"/>
        <w:jc w:val="left"/>
      </w:pPr>
      <w:r>
        <w:rPr>
          <w:rFonts w:ascii="Georgia" w:cs="Georgia" w:eastAsia="Georgia" w:hAnsi="Georgia"/>
          <w:sz w:val="21"/>
          <w:szCs w:val="21"/>
        </w:rPr>
        <w:t xml:space="preserve">A DMCA policy is half of the § 512(c) safe harbour. The other half is registering the designated agent in the Copyright Office's </w:t>
      </w:r>
      <w:r>
        <w:rPr>
          <w:rFonts w:ascii="Georgia" w:cs="Georgia" w:eastAsia="Georgia" w:hAnsi="Georgia"/>
          <w:b/>
          <w:bCs/>
          <w:sz w:val="21"/>
          <w:szCs w:val="21"/>
        </w:rPr>
        <w:t xml:space="preserve">electronic</w:t>
      </w:r>
      <w:r>
        <w:rPr>
          <w:rFonts w:ascii="Georgia" w:cs="Georgia" w:eastAsia="Georgia" w:hAnsi="Georgia"/>
          <w:sz w:val="21"/>
          <w:szCs w:val="21"/>
        </w:rPr>
        <w:t xml:space="preserve"> directory; paper designations are no longer accepted, and the registration </w:t>
      </w:r>
      <w:r>
        <w:rPr>
          <w:rFonts w:ascii="Georgia" w:cs="Georgia" w:eastAsia="Georgia" w:hAnsi="Georgia"/>
          <w:b/>
          <w:bCs/>
          <w:sz w:val="21"/>
          <w:szCs w:val="21"/>
        </w:rPr>
        <w:t xml:space="preserve">expires after three years</w:t>
      </w:r>
      <w:r>
        <w:rPr>
          <w:rFonts w:ascii="Georgia" w:cs="Georgia" w:eastAsia="Georgia" w:hAnsi="Georgia"/>
          <w:sz w:val="21"/>
          <w:szCs w:val="21"/>
        </w:rPr>
        <w:t xml:space="preserve"> unless renewed.</w:t>
      </w:r>
    </w:p>
    <w:p>
      <w:pPr>
        <w:spacing w:after="140" w:line="288"/>
        <w:jc w:val="left"/>
      </w:pPr>
      <w:r>
        <w:rPr>
          <w:rFonts w:ascii="Georgia" w:cs="Georgia" w:eastAsia="Georgia" w:hAnsi="Georgia"/>
          <w:sz w:val="21"/>
          <w:szCs w:val="21"/>
        </w:rPr>
        <w:t xml:space="preserve">Publishing a DMCA policy without registering the agent is a common failure, and on an art marketplace — where artist-uploaded images are the most likely infringement vector — the safe harbour is the primary defence. The fee is nominal and the registration takes under an hour. </w:t>
      </w:r>
      <w:r>
        <w:rPr>
          <w:rFonts w:ascii="Georgia" w:cs="Georgia" w:eastAsia="Georgia" w:hAnsi="Georgia"/>
          <w:b/>
          <w:bCs/>
          <w:sz w:val="21"/>
          <w:szCs w:val="21"/>
        </w:rPr>
        <w:t xml:space="preserve">Confirm whether this has been done, and calendar the renewal.</w:t>
      </w:r>
    </w:p>
    <w:p>
      <w:pPr>
        <w:spacing w:after="140" w:line="288"/>
        <w:jc w:val="left"/>
      </w:pPr>
      <w:r>
        <w:rPr>
          <w:rFonts w:ascii="Georgia" w:cs="Georgia" w:eastAsia="Georgia" w:hAnsi="Georgia"/>
          <w:sz w:val="21"/>
          <w:szCs w:val="21"/>
        </w:rPr>
        <w:t xml:space="preserve">Note separately that § 512(i) conditions the safe harbour on adopting and reasonably implementing a </w:t>
      </w:r>
      <w:r>
        <w:rPr>
          <w:rFonts w:ascii="Georgia" w:cs="Georgia" w:eastAsia="Georgia" w:hAnsi="Georgia"/>
          <w:b/>
          <w:bCs/>
          <w:sz w:val="21"/>
          <w:szCs w:val="21"/>
        </w:rPr>
        <w:t xml:space="preserve">repeat infringer termination policy</w:t>
      </w:r>
      <w:r>
        <w:rPr>
          <w:rFonts w:ascii="Georgia" w:cs="Georgia" w:eastAsia="Georgia" w:hAnsi="Georgia"/>
          <w:sz w:val="21"/>
          <w:szCs w:val="21"/>
        </w:rPr>
        <w:t xml:space="preserve">, which is a distinct requirement from operating a takedown process. See item 12.</w:t>
      </w:r>
    </w:p>
    <w:p>
      <w:pPr>
        <w:keepNext/>
        <w:spacing w:after="140" w:before="360"/>
      </w:pPr>
      <w:r>
        <w:rPr>
          <w:rFonts w:ascii="Georgia" w:cs="Georgia" w:eastAsia="Georgia" w:hAnsi="Georgia"/>
          <w:b/>
          <w:bCs/>
          <w:sz w:val="25"/>
          <w:szCs w:val="25"/>
        </w:rPr>
        <w:t xml:space="preserve">7. Editions and multiples</w:t>
      </w:r>
    </w:p>
    <w:p>
      <w:pPr>
        <w:spacing w:after="140" w:line="288"/>
        <w:jc w:val="left"/>
      </w:pPr>
      <w:r>
        <w:rPr>
          <w:rFonts w:ascii="Georgia" w:cs="Georgia" w:eastAsia="Georgia" w:hAnsi="Georgia"/>
          <w:sz w:val="21"/>
          <w:szCs w:val="21"/>
        </w:rPr>
        <w:t xml:space="preserve">California Civil Code § 1740 and following requires an art dealer selling or consigning </w:t>
      </w:r>
      <w:r>
        <w:rPr>
          <w:rFonts w:ascii="Georgia" w:cs="Georgia" w:eastAsia="Georgia" w:hAnsi="Georgia"/>
          <w:b/>
          <w:bCs/>
          <w:sz w:val="21"/>
          <w:szCs w:val="21"/>
        </w:rPr>
        <w:t xml:space="preserve">multiples</w:t>
      </w:r>
      <w:r>
        <w:rPr>
          <w:rFonts w:ascii="Georgia" w:cs="Georgia" w:eastAsia="Georgia" w:hAnsi="Georgia"/>
          <w:sz w:val="21"/>
          <w:szCs w:val="21"/>
        </w:rPr>
        <w:t xml:space="preserve"> — prints, photographs, and sculptures produced in more than one copy — into or from California to furnish a certificate with statutorily specified contents: the artist's name, whether the artist signed the work, a description of the medium or process, whether it is a reproduction, the production date, whether the master was destroyed or altered, and the edition size and composition. Catalogue and online solicitations must carry either the disclosure or the prescribed statutory notice. A buyer has a 30-day refund right where the information is incorrect, and </w:t>
      </w:r>
      <w:r>
        <w:rPr>
          <w:rFonts w:ascii="Georgia" w:cs="Georgia" w:eastAsia="Georgia" w:hAnsi="Georgia"/>
          <w:b/>
          <w:bCs/>
          <w:sz w:val="21"/>
          <w:szCs w:val="21"/>
        </w:rPr>
        <w:t xml:space="preserve">wilful violations carry treble the purchase price</w:t>
      </w:r>
      <w:r>
        <w:rPr>
          <w:rFonts w:ascii="Georgia" w:cs="Georgia" w:eastAsia="Georgia" w:hAnsi="Georgia"/>
          <w:sz w:val="21"/>
          <w:szCs w:val="21"/>
        </w:rPr>
        <w:t xml:space="preserve">. New York has a parallel regime at Arts and Cultural Affairs Law § 15.01.</w:t>
      </w:r>
    </w:p>
    <w:p>
      <w:pPr>
        <w:spacing w:after="140" w:line="288"/>
        <w:jc w:val="left"/>
      </w:pPr>
      <w:r>
        <w:rPr>
          <w:rFonts w:ascii="Georgia" w:cs="Georgia" w:eastAsia="Georgia" w:hAnsi="Georgia"/>
          <w:sz w:val="21"/>
          <w:szCs w:val="21"/>
        </w:rPr>
        <w:t xml:space="preserve">These statutes reach multiples only. A one-of-a-kind original painting is outside them. The obligation falls on the dealer — Custom Canvas — not on the artist.</w:t>
      </w:r>
    </w:p>
    <w:p>
      <w:pPr>
        <w:spacing w:after="140" w:line="288"/>
        <w:jc w:val="left"/>
      </w:pPr>
      <w:r>
        <w:rPr>
          <w:rFonts w:ascii="Georgia" w:cs="Georgia" w:eastAsia="Georgia" w:hAnsi="Georgia"/>
          <w:sz w:val="21"/>
          <w:szCs w:val="21"/>
        </w:rPr>
        <w:t xml:space="preserve">There are two clean answers. Either prohibit editions and multiples in the Prohibited and Restricted Items Policy at launch, which is the simplest course for a set of fifteen to twenty-five artists; or build structured edition metadata into listings and amend the Authenticity and Provenance Policy to specify the statutory certificate contents. A generic certificate of authenticity that does not contain the statutory fields does not satisfy the law.</w:t>
      </w:r>
    </w:p>
    <w:p>
      <w:pPr>
        <w:spacing w:after="140" w:line="288"/>
        <w:jc w:val="left"/>
      </w:pPr>
      <w:r>
        <w:rPr>
          <w:rFonts w:ascii="Georgia" w:cs="Georgia" w:eastAsia="Georgia" w:hAnsi="Georgia"/>
          <w:b/>
          <w:bCs/>
          <w:sz w:val="21"/>
          <w:szCs w:val="21"/>
        </w:rPr>
        <w:t xml:space="preserve">This is the gap most specific to this business and the one most likely to be missed by generalist e-commerce counsel.</w:t>
      </w:r>
    </w:p>
    <w:p>
      <w:pPr>
        <w:keepNext/>
        <w:spacing w:after="140" w:before="360"/>
      </w:pPr>
      <w:r>
        <w:rPr>
          <w:rFonts w:ascii="Georgia" w:cs="Georgia" w:eastAsia="Georgia" w:hAnsi="Georgia"/>
          <w:b/>
          <w:bCs/>
          <w:sz w:val="25"/>
          <w:szCs w:val="25"/>
        </w:rPr>
        <w:t xml:space="preserve">8. International shipping</w:t>
      </w:r>
    </w:p>
    <w:p>
      <w:pPr>
        <w:spacing w:after="140" w:line="288"/>
        <w:jc w:val="left"/>
      </w:pPr>
      <w:r>
        <w:rPr>
          <w:rFonts w:ascii="Georgia" w:cs="Georgia" w:eastAsia="Georgia" w:hAnsi="Georgia"/>
          <w:sz w:val="21"/>
          <w:szCs w:val="21"/>
        </w:rPr>
        <w:t xml:space="preserve">Shipping to EU or UK consumers brings a substantial and disproportionate compliance stack: GDPR Article 3(2) extraterritorial application and an Article 27 representative; UK GDPR and a UK representative; the Consumer Rights Directive's 14-day withdrawal right, which conflicts directly with final-sale terms for original artwork; the EU General Product Safety Regulation, which since 13 December 2024 requires an EU-established responsible person for products sold to EU consumers; and the Digital Services Act, which applies to intermediary services offered to EU recipients regardless of where the provider is established.</w:t>
      </w:r>
    </w:p>
    <w:p>
      <w:pPr>
        <w:spacing w:after="140" w:line="288"/>
        <w:jc w:val="left"/>
      </w:pPr>
      <w:r>
        <w:rPr>
          <w:rFonts w:ascii="Georgia" w:cs="Georgia" w:eastAsia="Georgia" w:hAnsi="Georgia"/>
          <w:sz w:val="21"/>
          <w:szCs w:val="21"/>
        </w:rPr>
        <w:t xml:space="preserve">The DSA's micro and small enterprise exemption removes the online-marketplace duties including Article 30 trader traceability, but the baseline hosting duties survive, including notice-and-action mechanisms, statements of reasons, and </w:t>
      </w:r>
      <w:r>
        <w:rPr>
          <w:rFonts w:ascii="Georgia" w:cs="Georgia" w:eastAsia="Georgia" w:hAnsi="Georgia"/>
          <w:b/>
          <w:bCs/>
          <w:sz w:val="21"/>
          <w:szCs w:val="21"/>
        </w:rPr>
        <w:t xml:space="preserve">Article 13 designation of an EU legal representative</w:t>
      </w:r>
      <w:r>
        <w:rPr>
          <w:rFonts w:ascii="Georgia" w:cs="Georgia" w:eastAsia="Georgia" w:hAnsi="Georgia"/>
          <w:sz w:val="21"/>
          <w:szCs w:val="21"/>
        </w:rPr>
        <w:t xml:space="preserve">.</w:t>
      </w:r>
    </w:p>
    <w:p>
      <w:pPr>
        <w:spacing w:after="140" w:line="288"/>
        <w:jc w:val="left"/>
      </w:pPr>
      <w:r>
        <w:rPr>
          <w:rFonts w:ascii="Georgia" w:cs="Georgia" w:eastAsia="Georgia" w:hAnsi="Georgia"/>
          <w:b/>
          <w:bCs/>
          <w:sz w:val="21"/>
          <w:szCs w:val="21"/>
        </w:rPr>
        <w:t xml:space="preserve">Recommendation: restrict shipping to the United States at launch and enforce it at checkout.</w:t>
      </w:r>
      <w:r>
        <w:rPr>
          <w:rFonts w:ascii="Georgia" w:cs="Georgia" w:eastAsia="Georgia" w:hAnsi="Georgia"/>
          <w:sz w:val="21"/>
          <w:szCs w:val="21"/>
        </w:rPr>
        <w:t xml:space="preserve"> This single decision removes more compliance surface than any document in this set could add, and it should be reflected in the Shipping Policy.</w:t>
      </w:r>
    </w:p>
    <w:p>
      <w:pPr>
        <w:keepNext/>
        <w:spacing w:after="140" w:before="360"/>
      </w:pPr>
      <w:r>
        <w:rPr>
          <w:rFonts w:ascii="Georgia" w:cs="Georgia" w:eastAsia="Georgia" w:hAnsi="Georgia"/>
          <w:b/>
          <w:bCs/>
          <w:sz w:val="25"/>
          <w:szCs w:val="25"/>
        </w:rPr>
        <w:t xml:space="preserve">9. Texas DTPA and the arbitration clauses</w:t>
      </w:r>
    </w:p>
    <w:p>
      <w:pPr>
        <w:spacing w:after="140" w:line="288"/>
        <w:jc w:val="left"/>
      </w:pPr>
      <w:r>
        <w:rPr>
          <w:rFonts w:ascii="Georgia" w:cs="Georgia" w:eastAsia="Georgia" w:hAnsi="Georgia"/>
          <w:sz w:val="21"/>
          <w:szCs w:val="21"/>
        </w:rPr>
        <w:t xml:space="preserve">The Texas Deceptive Trade Practices Act cannot be waived except by a written waiver satisfying § 17.42, which generally requires that the consumer not be in a disparate bargaining position </w:t>
      </w:r>
      <w:r>
        <w:rPr>
          <w:rFonts w:ascii="Georgia" w:cs="Georgia" w:eastAsia="Georgia" w:hAnsi="Georgia"/>
          <w:b/>
          <w:bCs/>
          <w:sz w:val="21"/>
          <w:szCs w:val="21"/>
        </w:rPr>
        <w:t xml:space="preserve">and be represented by counsel in the transaction</w:t>
      </w:r>
      <w:r>
        <w:rPr>
          <w:rFonts w:ascii="Georgia" w:cs="Georgia" w:eastAsia="Georgia" w:hAnsi="Georgia"/>
          <w:sz w:val="21"/>
          <w:szCs w:val="21"/>
        </w:rPr>
        <w:t xml:space="preserve">. A DTPA waiver in a clickwrap agreement is very likely void, and an unenforceable waiver may itself be a deceptive act. Any such waiver should come out.</w:t>
      </w:r>
    </w:p>
    <w:p>
      <w:pPr>
        <w:spacing w:after="140" w:line="288"/>
        <w:jc w:val="left"/>
      </w:pPr>
      <w:r>
        <w:rPr>
          <w:rFonts w:ascii="Georgia" w:cs="Georgia" w:eastAsia="Georgia" w:hAnsi="Georgia"/>
          <w:sz w:val="21"/>
          <w:szCs w:val="21"/>
        </w:rPr>
        <w:t xml:space="preserve">Separately, the buyer-facing and artist-facing arbitration provisions should be </w:t>
      </w:r>
      <w:r>
        <w:rPr>
          <w:rFonts w:ascii="Georgia" w:cs="Georgia" w:eastAsia="Georgia" w:hAnsi="Georgia"/>
          <w:b/>
          <w:bCs/>
          <w:sz w:val="21"/>
          <w:szCs w:val="21"/>
        </w:rPr>
        <w:t xml:space="preserve">two different clauses</w:t>
      </w:r>
      <w:r>
        <w:rPr>
          <w:rFonts w:ascii="Georgia" w:cs="Georgia" w:eastAsia="Georgia" w:hAnsi="Georgia"/>
          <w:sz w:val="21"/>
          <w:szCs w:val="21"/>
        </w:rPr>
        <w:t xml:space="preserve"> with different terms as to fee allocation, discovery and venue. A single clause covering both a consumer and a commercial counterparty is a common drafting error.</w:t>
      </w:r>
    </w:p>
    <w:p>
      <w:pPr>
        <w:spacing w:after="140" w:line="288"/>
        <w:jc w:val="left"/>
      </w:pPr>
      <w:r>
        <w:rPr>
          <w:rFonts w:ascii="Georgia" w:cs="Georgia" w:eastAsia="Georgia" w:hAnsi="Georgia"/>
          <w:sz w:val="21"/>
          <w:szCs w:val="21"/>
        </w:rPr>
        <w:t xml:space="preserve">Current practice for the consumer clause is a conspicuous pre-agreement notice, a 30-day opt-out, an express class action waiver, and mass-arbitration protocols providing for batching, bellwether procedures and staged fee schedules. Courts have enforced well-drafted mass-arbitration provisions and have penalised careless ones; for a platform of this size the filing-fee exposure from a mass campaign is the material risk.</w:t>
      </w:r>
    </w:p>
    <w:p>
      <w:pPr>
        <w:keepNext/>
        <w:spacing w:after="140" w:before="360"/>
      </w:pPr>
      <w:r>
        <w:rPr>
          <w:rFonts w:ascii="Georgia" w:cs="Georgia" w:eastAsia="Georgia" w:hAnsi="Georgia"/>
          <w:b/>
          <w:bCs/>
          <w:sz w:val="25"/>
          <w:szCs w:val="25"/>
        </w:rPr>
        <w:t xml:space="preserve">10. Email and SMS consent</w:t>
      </w:r>
    </w:p>
    <w:p>
      <w:pPr>
        <w:spacing w:after="140" w:line="288"/>
        <w:jc w:val="left"/>
      </w:pPr>
      <w:r>
        <w:rPr>
          <w:rFonts w:ascii="Georgia" w:cs="Georgia" w:eastAsia="Georgia" w:hAnsi="Georgia"/>
          <w:sz w:val="21"/>
          <w:szCs w:val="21"/>
        </w:rPr>
        <w:t xml:space="preserve">If marketing email is sent, CAN-SPAM requires accurate headers and subject lines, identification as an advertisement, a </w:t>
      </w:r>
      <w:r>
        <w:rPr>
          <w:rFonts w:ascii="Georgia" w:cs="Georgia" w:eastAsia="Georgia" w:hAnsi="Georgia"/>
          <w:b/>
          <w:bCs/>
          <w:sz w:val="21"/>
          <w:szCs w:val="21"/>
        </w:rPr>
        <w:t xml:space="preserve">valid physical postal address</w:t>
      </w:r>
      <w:r>
        <w:rPr>
          <w:rFonts w:ascii="Georgia" w:cs="Georgia" w:eastAsia="Georgia" w:hAnsi="Georgia"/>
          <w:sz w:val="21"/>
          <w:szCs w:val="21"/>
        </w:rPr>
        <w:t xml:space="preserve">, and opt-out honoured within 10 business days.</w:t>
      </w:r>
    </w:p>
    <w:p>
      <w:pPr>
        <w:spacing w:after="140" w:line="288"/>
        <w:jc w:val="left"/>
      </w:pPr>
      <w:r>
        <w:rPr>
          <w:rFonts w:ascii="Georgia" w:cs="Georgia" w:eastAsia="Georgia" w:hAnsi="Georgia"/>
          <w:sz w:val="21"/>
          <w:szCs w:val="21"/>
        </w:rPr>
        <w:t xml:space="preserve">If marketing SMS is sent, the TCPA requires prior express written consent — a clear and conspicuous disclosure with a separate affirmative act, not a pre-checked box or a reference buried in terms — and consent may not be a condition of purchase. Since 11 April 2025, opt-outs made by any reasonable method must be honoured within 10 business days. Statutory damages run from $500 to $1,500 per message and the area is heavily litigated on a class basis.</w:t>
      </w:r>
    </w:p>
    <w:p>
      <w:pPr>
        <w:spacing w:after="140" w:line="288"/>
        <w:jc w:val="left"/>
      </w:pPr>
      <w:r>
        <w:rPr>
          <w:rFonts w:ascii="Georgia" w:cs="Georgia" w:eastAsia="Georgia" w:hAnsi="Georgia"/>
          <w:sz w:val="21"/>
          <w:szCs w:val="21"/>
        </w:rPr>
        <w:t xml:space="preserve">Transactional order email sits largely outside both regimes. A notification that a followed artist has listed new work does not.</w:t>
      </w:r>
    </w:p>
    <w:p>
      <w:pPr>
        <w:spacing w:after="140" w:line="288"/>
        <w:jc w:val="left"/>
      </w:pPr>
      <w:r>
        <w:rPr>
          <w:rFonts w:ascii="Georgia" w:cs="Georgia" w:eastAsia="Georgia" w:hAnsi="Georgia"/>
          <w:sz w:val="21"/>
          <w:szCs w:val="21"/>
        </w:rPr>
        <w:t xml:space="preserve">A standalone SMS Terms document is effectively required for short-code or 10DLC carrier approval.</w:t>
      </w:r>
    </w:p>
    <w:p>
      <w:pPr>
        <w:keepNext/>
        <w:spacing w:after="140" w:before="360"/>
      </w:pPr>
      <w:r>
        <w:rPr>
          <w:rFonts w:ascii="Georgia" w:cs="Georgia" w:eastAsia="Georgia" w:hAnsi="Georgia"/>
          <w:b/>
          <w:bCs/>
          <w:sz w:val="25"/>
          <w:szCs w:val="25"/>
        </w:rPr>
        <w:t xml:space="preserve">11. INFORM Consumers Act</w:t>
      </w:r>
    </w:p>
    <w:p>
      <w:pPr>
        <w:spacing w:after="140" w:line="288"/>
        <w:jc w:val="left"/>
      </w:pPr>
      <w:r>
        <w:rPr>
          <w:rFonts w:ascii="Georgia" w:cs="Georgia" w:eastAsia="Georgia" w:hAnsi="Georgia"/>
          <w:b/>
          <w:bCs/>
          <w:sz w:val="21"/>
          <w:szCs w:val="21"/>
        </w:rPr>
        <w:t xml:space="preserve">The marketplace-level obligations are in force now.</w:t>
      </w:r>
      <w:r>
        <w:rPr>
          <w:rFonts w:ascii="Georgia" w:cs="Georgia" w:eastAsia="Georgia" w:hAnsi="Georgia"/>
          <w:sz w:val="21"/>
          <w:szCs w:val="21"/>
        </w:rPr>
        <w:t xml:space="preserve"> 15 U.S.C. § 45f applies to any consumer-directed platform with third-party sellers and a contractual relationship with consumers. There is no small-marketplace exemption — no revenue floor, no seller-count floor.</w:t>
      </w:r>
    </w:p>
    <w:p>
      <w:pPr>
        <w:spacing w:after="140" w:line="288"/>
        <w:jc w:val="left"/>
      </w:pPr>
      <w:r>
        <w:rPr>
          <w:rFonts w:ascii="Georgia" w:cs="Georgia" w:eastAsia="Georgia" w:hAnsi="Georgia"/>
          <w:b/>
          <w:bCs/>
          <w:sz w:val="21"/>
          <w:szCs w:val="21"/>
        </w:rPr>
        <w:t xml:space="preserve">The seller-level obligations almost certainly do not bite yet.</w:t>
      </w:r>
      <w:r>
        <w:rPr>
          <w:rFonts w:ascii="Georgia" w:cs="Georgia" w:eastAsia="Georgia" w:hAnsi="Georgia"/>
          <w:sz w:val="21"/>
          <w:szCs w:val="21"/>
        </w:rPr>
        <w:t xml:space="preserve"> A high-volume third party seller must, in a continuous 12-month period within the previous 24 months, reach </w:t>
      </w:r>
      <w:r>
        <w:rPr>
          <w:rFonts w:ascii="Georgia" w:cs="Georgia" w:eastAsia="Georgia" w:hAnsi="Georgia"/>
          <w:b/>
          <w:bCs/>
          <w:sz w:val="21"/>
          <w:szCs w:val="21"/>
        </w:rPr>
        <w:t xml:space="preserve">both</w:t>
      </w:r>
      <w:r>
        <w:rPr>
          <w:rFonts w:ascii="Georgia" w:cs="Georgia" w:eastAsia="Georgia" w:hAnsi="Georgia"/>
          <w:sz w:val="21"/>
          <w:szCs w:val="21"/>
        </w:rPr>
        <w:t xml:space="preserve"> 200 or more discrete sales </w:t>
      </w:r>
      <w:r>
        <w:rPr>
          <w:rFonts w:ascii="Georgia" w:cs="Georgia" w:eastAsia="Georgia" w:hAnsi="Georgia"/>
          <w:b/>
          <w:bCs/>
          <w:sz w:val="21"/>
          <w:szCs w:val="21"/>
        </w:rPr>
        <w:t xml:space="preserve">and</w:t>
      </w:r>
      <w:r>
        <w:rPr>
          <w:rFonts w:ascii="Georgia" w:cs="Georgia" w:eastAsia="Georgia" w:hAnsi="Georgia"/>
          <w:sz w:val="21"/>
          <w:szCs w:val="21"/>
        </w:rPr>
        <w:t xml:space="preserve"> $5,000 or more in gross revenue. The conjunction governs: an artist selling twelve paintings at $2,500 clears the revenue prong by a wide margin and never approaches the transaction prong. The $20,000 tier that triggers public seller-identity disclosure applies only to sellers who are already high-volume, so it cannot reach an artist who never crosses 200 transactions.</w:t>
      </w:r>
    </w:p>
    <w:p>
      <w:pPr>
        <w:spacing w:after="140" w:line="288"/>
        <w:jc w:val="left"/>
      </w:pPr>
      <w:r>
        <w:rPr>
          <w:rFonts w:ascii="Georgia" w:cs="Georgia" w:eastAsia="Georgia" w:hAnsi="Georgia"/>
          <w:sz w:val="21"/>
          <w:szCs w:val="21"/>
        </w:rPr>
        <w:t xml:space="preserve">An unresolved threshold question: INFORM covers "new or unused consumer products," defined through the Magnuson-Moss Warranty Act as tangible personal property normally used for personal, family or household purposes. Decorative artwork bought for a home appears to qualify. There is no FTC guidance, rule or case law addressing artwork specifically, and the contrary argument for investment-grade work should not be relied upon.</w:t>
      </w:r>
    </w:p>
    <w:p>
      <w:pPr>
        <w:spacing w:after="140" w:line="288"/>
        <w:jc w:val="left"/>
      </w:pPr>
      <w:r>
        <w:rPr>
          <w:rFonts w:ascii="Georgia" w:cs="Georgia" w:eastAsia="Georgia" w:hAnsi="Georgia"/>
          <w:sz w:val="21"/>
          <w:szCs w:val="21"/>
        </w:rPr>
        <w:t xml:space="preserve">What follows practically is modest and cheap now, expensive later:</w:t>
      </w:r>
    </w:p>
    <w:p>
      <w:pPr>
        <w:pStyle w:val="ListParagraph"/>
        <w:numPr>
          <w:ilvl w:val="0"/>
          <w:numId w:val="1"/>
        </w:numPr>
        <w:spacing w:after="90" w:line="288"/>
      </w:pPr>
      <w:r>
        <w:rPr>
          <w:rFonts w:ascii="Georgia" w:cs="Georgia" w:eastAsia="Georgia" w:hAnsi="Georgia"/>
          <w:b/>
          <w:bCs/>
          <w:sz w:val="21"/>
          <w:szCs w:val="21"/>
        </w:rPr>
        <w:t xml:space="preserve">Contractual hooks in the Artist Agreement</w:t>
      </w:r>
      <w:r>
        <w:rPr>
          <w:rFonts w:ascii="Georgia" w:cs="Georgia" w:eastAsia="Georgia" w:hAnsi="Georgia"/>
          <w:sz w:val="21"/>
          <w:szCs w:val="21"/>
        </w:rPr>
        <w:t xml:space="preserve"> obliging the artist to supply and annually certify INFORM data on demand, and consenting to disclosure and to suspension for non-compliance. Retrofitting these into executed agreements is materially harder.</w:t>
      </w:r>
    </w:p>
    <w:p>
      <w:pPr>
        <w:pStyle w:val="ListParagraph"/>
        <w:numPr>
          <w:ilvl w:val="0"/>
          <w:numId w:val="1"/>
        </w:numPr>
        <w:spacing w:after="90" w:line="288"/>
      </w:pPr>
      <w:r>
        <w:rPr>
          <w:rFonts w:ascii="Georgia" w:cs="Georgia" w:eastAsia="Georgia" w:hAnsi="Georgia"/>
          <w:b/>
          <w:bCs/>
          <w:sz w:val="21"/>
          <w:szCs w:val="21"/>
        </w:rPr>
        <w:t xml:space="preserve">A per-seller transaction counter</w:t>
      </w:r>
      <w:r>
        <w:rPr>
          <w:rFonts w:ascii="Georgia" w:cs="Georgia" w:eastAsia="Georgia" w:hAnsi="Georgia"/>
          <w:sz w:val="21"/>
          <w:szCs w:val="21"/>
        </w:rPr>
        <w:t xml:space="preserve"> with alerting well before 200.</w:t>
      </w:r>
    </w:p>
    <w:p>
      <w:pPr>
        <w:pStyle w:val="ListParagraph"/>
        <w:numPr>
          <w:ilvl w:val="0"/>
          <w:numId w:val="1"/>
        </w:numPr>
        <w:spacing w:after="90" w:line="288"/>
      </w:pPr>
      <w:r>
        <w:rPr>
          <w:rFonts w:ascii="Georgia" w:cs="Georgia" w:eastAsia="Georgia" w:hAnsi="Georgia"/>
          <w:b/>
          <w:bCs/>
          <w:sz w:val="21"/>
          <w:szCs w:val="21"/>
        </w:rPr>
        <w:t xml:space="preserve">A reporting mechanism on listings accepting both electronic and telephonic reports.</w:t>
      </w:r>
      <w:r>
        <w:rPr>
          <w:rFonts w:ascii="Georgia" w:cs="Georgia" w:eastAsia="Georgia" w:hAnsi="Georgia"/>
          <w:sz w:val="21"/>
          <w:szCs w:val="21"/>
        </w:rPr>
        <w:t xml:space="preserve"> The telephonic limb is the most commonly missed requirement; a web form alone does not satisfy it.</w:t>
      </w:r>
    </w:p>
    <w:p>
      <w:pPr>
        <w:pStyle w:val="ListParagraph"/>
        <w:numPr>
          <w:ilvl w:val="0"/>
          <w:numId w:val="1"/>
        </w:numPr>
        <w:spacing w:after="90" w:line="288"/>
      </w:pPr>
      <w:r>
        <w:rPr>
          <w:rFonts w:ascii="Georgia" w:cs="Georgia" w:eastAsia="Georgia" w:hAnsi="Georgia"/>
          <w:b/>
          <w:bCs/>
          <w:sz w:val="21"/>
          <w:szCs w:val="21"/>
        </w:rPr>
        <w:t xml:space="preserve">Data segregation.</w:t>
      </w:r>
      <w:r>
        <w:rPr>
          <w:rFonts w:ascii="Georgia" w:cs="Georgia" w:eastAsia="Georgia" w:hAnsi="Georgia"/>
          <w:sz w:val="21"/>
          <w:szCs w:val="21"/>
        </w:rPr>
        <w:t xml:space="preserve"> INFORM-collected data may not be used for any other purpose. The Privacy Policy must not sweep it into general marketing permissions, and the retention schedule must keep it separate.</w:t>
      </w:r>
    </w:p>
    <w:p>
      <w:pPr>
        <w:spacing w:after="140" w:line="288"/>
        <w:jc w:val="left"/>
      </w:pPr>
      <w:r>
        <w:rPr>
          <w:rFonts w:ascii="Georgia" w:cs="Georgia" w:eastAsia="Georgia" w:hAnsi="Georgia"/>
          <w:sz w:val="21"/>
          <w:szCs w:val="21"/>
        </w:rPr>
        <w:t xml:space="preserve">Suspension is mandatory rather than discretionary where a seller fails to certify after a 10-day cure period. Civil penalties stand at $53,088 per violation.</w:t>
      </w:r>
    </w:p>
    <w:p>
      <w:pPr>
        <w:spacing w:after="140" w:line="288"/>
        <w:jc w:val="left"/>
      </w:pPr>
      <w:r>
        <w:rPr>
          <w:rFonts w:ascii="Georgia" w:cs="Georgia" w:eastAsia="Georgia" w:hAnsi="Georgia"/>
          <w:sz w:val="21"/>
          <w:szCs w:val="21"/>
        </w:rPr>
        <w:t xml:space="preserve">There is a tension worth noting between INFORM's requirement of "direct, unhindered communication" with a seller and a walled-garden messaging system. Platform messaging may satisfy "other direct electronic messaging means," but throttling or gating it becomes a live question once any seller crosses the disclosure tier.</w:t>
      </w:r>
    </w:p>
    <w:p>
      <w:pPr>
        <w:spacing w:after="140" w:line="288"/>
        <w:jc w:val="left"/>
      </w:pPr>
      <w:r>
        <w:rPr>
          <w:rFonts w:ascii="Georgia" w:cs="Georgia" w:eastAsia="Georgia" w:hAnsi="Georgia"/>
          <w:b/>
          <w:bCs/>
          <w:sz w:val="21"/>
          <w:szCs w:val="21"/>
        </w:rPr>
        <w:t xml:space="preserve">Do not publish a standalone INFORM policy.</w:t>
      </w:r>
      <w:r>
        <w:rPr>
          <w:rFonts w:ascii="Georgia" w:cs="Georgia" w:eastAsia="Georgia" w:hAnsi="Georgia"/>
          <w:sz w:val="21"/>
          <w:szCs w:val="21"/>
        </w:rPr>
        <w:t xml:space="preserve"> The obligations live in the Artist Agreement, the Terms of Service, the Privacy Policy and the listing interface.</w:t>
      </w:r>
    </w:p>
    <w:p>
      <w:pPr>
        <w:keepNext/>
        <w:spacing w:after="140" w:before="360"/>
      </w:pPr>
      <w:r>
        <w:rPr>
          <w:rFonts w:ascii="Georgia" w:cs="Georgia" w:eastAsia="Georgia" w:hAnsi="Georgia"/>
          <w:b/>
          <w:bCs/>
          <w:sz w:val="25"/>
          <w:szCs w:val="25"/>
        </w:rPr>
        <w:t xml:space="preserve">12. Enforcement, suspension and appeals</w:t>
      </w:r>
    </w:p>
    <w:p>
      <w:pPr>
        <w:spacing w:after="140" w:line="288"/>
        <w:jc w:val="left"/>
      </w:pPr>
      <w:r>
        <w:rPr>
          <w:rFonts w:ascii="Georgia" w:cs="Georgia" w:eastAsia="Georgia" w:hAnsi="Georgia"/>
          <w:sz w:val="21"/>
          <w:szCs w:val="21"/>
        </w:rPr>
        <w:t xml:space="preserve">The Community Guidelines state the rules. No document states the process: how reports are handled, what enforcement actions exist, what notice is given, whether there is an appeal, and what happens to pending orders and held funds when an account is suspended.</w:t>
      </w:r>
    </w:p>
    <w:p>
      <w:pPr>
        <w:spacing w:after="140" w:line="288"/>
        <w:jc w:val="left"/>
      </w:pPr>
      <w:r>
        <w:rPr>
          <w:rFonts w:ascii="Georgia" w:cs="Georgia" w:eastAsia="Georgia" w:hAnsi="Georgia"/>
          <w:sz w:val="21"/>
          <w:szCs w:val="21"/>
        </w:rPr>
        <w:t xml:space="preserve">Three separate obligations converge here. INFORM mandates suspension with a 10-day notice and cure. The Prohibited and Restricted Items Policy implies takedowns. And § 512(i) conditions the DMCA safe harbour on adopting and reasonably implementing a repeat-infringer termination policy — a documented, consistently applied standard, which is what courts examine.</w:t>
      </w:r>
    </w:p>
    <w:p>
      <w:pPr>
        <w:spacing w:after="140" w:line="288"/>
        <w:jc w:val="left"/>
      </w:pPr>
      <w:r>
        <w:rPr>
          <w:rFonts w:ascii="Georgia" w:cs="Georgia" w:eastAsia="Georgia" w:hAnsi="Georgia"/>
          <w:sz w:val="21"/>
          <w:szCs w:val="21"/>
        </w:rPr>
        <w:t xml:space="preserve">Beyond compliance, a terminated artist's breach claim is considerably stronger where no documented process existed.</w:t>
      </w:r>
    </w:p>
    <w:p>
      <w:pPr>
        <w:keepNext/>
        <w:spacing w:after="140" w:before="360"/>
      </w:pPr>
      <w:r>
        <w:rPr>
          <w:rFonts w:ascii="Georgia" w:cs="Georgia" w:eastAsia="Georgia" w:hAnsi="Georgia"/>
          <w:b/>
          <w:bCs/>
          <w:sz w:val="25"/>
          <w:szCs w:val="25"/>
        </w:rPr>
        <w:t xml:space="preserve">13. Consumer reviews</w:t>
      </w:r>
    </w:p>
    <w:p>
      <w:pPr>
        <w:spacing w:after="140" w:line="288"/>
        <w:jc w:val="left"/>
      </w:pPr>
      <w:r>
        <w:rPr>
          <w:rFonts w:ascii="Georgia" w:cs="Georgia" w:eastAsia="Georgia" w:hAnsi="Georgia"/>
          <w:sz w:val="21"/>
          <w:szCs w:val="21"/>
        </w:rPr>
        <w:t xml:space="preserve">The FTC's Rule on the Use of Consumer Reviews and Testimonials (16 CFR 465, effective 21 October 2024) prohibits fake or AI-generated reviews, buying reviews expressing a particular sentiment, undisclosed insider reviews, and </w:t>
      </w:r>
      <w:r>
        <w:rPr>
          <w:rFonts w:ascii="Georgia" w:cs="Georgia" w:eastAsia="Georgia" w:hAnsi="Georgia"/>
          <w:b/>
          <w:bCs/>
          <w:sz w:val="21"/>
          <w:szCs w:val="21"/>
        </w:rPr>
        <w:t xml:space="preserve">review suppression</w:t>
      </w:r>
      <w:r>
        <w:rPr>
          <w:rFonts w:ascii="Georgia" w:cs="Georgia" w:eastAsia="Georgia" w:hAnsi="Georgia"/>
          <w:sz w:val="21"/>
          <w:szCs w:val="21"/>
        </w:rPr>
        <w:t xml:space="preserve"> through intimidation, false accusations or unfounded legal threats.</w:t>
      </w:r>
    </w:p>
    <w:p>
      <w:pPr>
        <w:spacing w:after="140" w:line="288"/>
        <w:jc w:val="left"/>
      </w:pPr>
      <w:r>
        <w:rPr>
          <w:rFonts w:ascii="Georgia" w:cs="Georgia" w:eastAsia="Georgia" w:hAnsi="Georgia"/>
          <w:sz w:val="21"/>
          <w:szCs w:val="21"/>
        </w:rPr>
        <w:t xml:space="preserve">Section 465.2(d) exempts platforms doing nothing more than hosting consumer reviews, even where they solicit submissions and aggregate ratings. That protection is lost if negative reviews are selectively removed, if artists are permitted to suppress criticism, or if reviews are seeded.</w:t>
      </w:r>
    </w:p>
    <w:p>
      <w:pPr>
        <w:spacing w:after="140" w:line="288"/>
        <w:jc w:val="left"/>
      </w:pPr>
      <w:r>
        <w:rPr>
          <w:rFonts w:ascii="Georgia" w:cs="Georgia" w:eastAsia="Georgia" w:hAnsi="Georgia"/>
          <w:sz w:val="21"/>
          <w:szCs w:val="21"/>
        </w:rPr>
        <w:t xml:space="preserve">If the platform carries reviews, a short policy stating what is removed and why — guideline violations only, applied neutrally — plus an Artist Agreement term barring artists from incentivising sentiment or pressuring buyers, preserves the exemption.</w:t>
      </w:r>
    </w:p>
    <w:p>
      <w:pPr>
        <w:keepNext/>
        <w:spacing w:after="140" w:before="360"/>
      </w:pPr>
      <w:r>
        <w:rPr>
          <w:rFonts w:ascii="Georgia" w:cs="Georgia" w:eastAsia="Georgia" w:hAnsi="Georgia"/>
          <w:b/>
          <w:bCs/>
          <w:sz w:val="25"/>
          <w:szCs w:val="25"/>
        </w:rPr>
        <w:t xml:space="preserve">14. Artist consignment</w:t>
      </w:r>
    </w:p>
    <w:p>
      <w:pPr>
        <w:spacing w:after="140" w:line="288"/>
        <w:jc w:val="left"/>
      </w:pPr>
      <w:r>
        <w:rPr>
          <w:rFonts w:ascii="Georgia" w:cs="Georgia" w:eastAsia="Georgia" w:hAnsi="Georgia"/>
          <w:sz w:val="21"/>
          <w:szCs w:val="21"/>
        </w:rPr>
        <w:t xml:space="preserve">Texas Occupations Code chapter 2101, the Artists' Consignment Act, provides that a work of art delivered to an art dealer for exhibition or sale, </w:t>
      </w:r>
      <w:r>
        <w:rPr>
          <w:rFonts w:ascii="Georgia" w:cs="Georgia" w:eastAsia="Georgia" w:hAnsi="Georgia"/>
          <w:b/>
          <w:bCs/>
          <w:sz w:val="21"/>
          <w:szCs w:val="21"/>
        </w:rPr>
        <w:t xml:space="preserve">and the proceeds of the dealer's sale</w:t>
      </w:r>
      <w:r>
        <w:rPr>
          <w:rFonts w:ascii="Georgia" w:cs="Georgia" w:eastAsia="Georgia" w:hAnsi="Georgia"/>
          <w:sz w:val="21"/>
          <w:szCs w:val="21"/>
        </w:rPr>
        <w:t xml:space="preserve">, are not subject to a claim, lien or security interest of the dealer's creditor. "Art dealer" means a person in the business of selling works of art. The definition of art expressly includes painting, sculpture, drawing, graphic art, pottery and weaving.</w:t>
      </w:r>
    </w:p>
    <w:p>
      <w:pPr>
        <w:spacing w:after="140" w:line="288"/>
        <w:jc w:val="left"/>
      </w:pPr>
      <w:r>
        <w:rPr>
          <w:rFonts w:ascii="Georgia" w:cs="Georgia" w:eastAsia="Georgia" w:hAnsi="Georgia"/>
          <w:sz w:val="21"/>
          <w:szCs w:val="21"/>
        </w:rPr>
        <w:t xml:space="preserve">This matters because Custom Canvas holds sale proceeds before remitting 85%. Chapter 2101 arguably renders those proceeds artist property beyond the reach of platform creditors — protective of artists, and worth stating affirmatively, but with the corollary that artist funds should not be commingled with operating capital.</w:t>
      </w:r>
    </w:p>
    <w:p>
      <w:pPr>
        <w:spacing w:after="140" w:line="288"/>
        <w:jc w:val="left"/>
      </w:pPr>
      <w:r>
        <w:rPr>
          <w:rFonts w:ascii="Georgia" w:cs="Georgia" w:eastAsia="Georgia" w:hAnsi="Georgia"/>
          <w:b/>
          <w:bCs/>
          <w:sz w:val="21"/>
          <w:szCs w:val="21"/>
        </w:rPr>
        <w:t xml:space="preserve">A genuine uncertainty:</w:t>
      </w:r>
      <w:r>
        <w:rPr>
          <w:rFonts w:ascii="Georgia" w:cs="Georgia" w:eastAsia="Georgia" w:hAnsi="Georgia"/>
          <w:sz w:val="21"/>
          <w:szCs w:val="21"/>
        </w:rPr>
        <w:t xml:space="preserve"> the chapter is triggered by artwork "delivered to an art dealer." Artists here never deliver physical work to Custom Canvas; they ship directly to buyers. Whether the statute reaches a dealer who touches only the proceeds appears unresolved in Texas, and no case law was found on the point.</w:t>
      </w:r>
    </w:p>
    <w:p>
      <w:pPr>
        <w:spacing w:after="140" w:line="288"/>
        <w:jc w:val="left"/>
      </w:pPr>
      <w:r>
        <w:rPr>
          <w:rFonts w:ascii="Georgia" w:cs="Georgia" w:eastAsia="Georgia" w:hAnsi="Georgia"/>
          <w:sz w:val="21"/>
          <w:szCs w:val="21"/>
        </w:rPr>
        <w:t xml:space="preserve">Roughly thirty states have artist-consignment statutes, many going further than Texas by imposing written-contract requirements, express trust obligations and </w:t>
      </w:r>
      <w:r>
        <w:rPr>
          <w:rFonts w:ascii="Georgia" w:cs="Georgia" w:eastAsia="Georgia" w:hAnsi="Georgia"/>
          <w:b/>
          <w:bCs/>
          <w:sz w:val="21"/>
          <w:szCs w:val="21"/>
        </w:rPr>
        <w:t xml:space="preserve">non-waivable</w:t>
      </w:r>
      <w:r>
        <w:rPr>
          <w:rFonts w:ascii="Georgia" w:cs="Georgia" w:eastAsia="Georgia" w:hAnsi="Georgia"/>
          <w:sz w:val="21"/>
          <w:szCs w:val="21"/>
        </w:rPr>
        <w:t xml:space="preserve"> provisions. An artist's home-state statute may apply regardless of a Texas choice-of-law clause. At fifteen to twenty-five Houston artists this is manageable; it scales poorly.</w:t>
      </w:r>
    </w:p>
    <w:p>
      <w:pPr>
        <w:keepNext/>
        <w:spacing w:after="140" w:before="360"/>
      </w:pPr>
      <w:r>
        <w:rPr>
          <w:rFonts w:ascii="Georgia" w:cs="Georgia" w:eastAsia="Georgia" w:hAnsi="Georgia"/>
          <w:b/>
          <w:bCs/>
          <w:sz w:val="25"/>
          <w:szCs w:val="25"/>
        </w:rPr>
        <w:t xml:space="preserve">15. Messaging monitoring</w:t>
      </w:r>
    </w:p>
    <w:p>
      <w:pPr>
        <w:spacing w:after="140" w:line="288"/>
        <w:jc w:val="left"/>
      </w:pPr>
      <w:r>
        <w:rPr>
          <w:rFonts w:ascii="Georgia" w:cs="Georgia" w:eastAsia="Georgia" w:hAnsi="Georgia"/>
          <w:sz w:val="21"/>
          <w:szCs w:val="21"/>
        </w:rPr>
        <w:t xml:space="preserve">The platform carries private buyer-artist messaging. If those messages are scanned, logged or moderated — which they should be, for fee circumvention and safety — that must be disclosed in the Privacy Policy and the Terms of Service.</w:t>
      </w:r>
    </w:p>
    <w:p>
      <w:pPr>
        <w:spacing w:after="140" w:line="288"/>
        <w:jc w:val="left"/>
      </w:pPr>
      <w:r>
        <w:rPr>
          <w:rFonts w:ascii="Georgia" w:cs="Georgia" w:eastAsia="Georgia" w:hAnsi="Georgia"/>
          <w:sz w:val="21"/>
          <w:szCs w:val="21"/>
        </w:rPr>
        <w:t xml:space="preserve">The associated litigation risk is not theoretical. Claims under the California Invasion of Privacy Act and other two-party-consent wiretapping statutes are currently among the highest-volume areas of privacy class litigation, aimed at session replay, chat interception and third-party analytics on communications. A marketplace combining private messaging with any third-party analytics or chat SDK is a natural target.</w:t>
      </w:r>
    </w:p>
    <w:p>
      <w:pPr>
        <w:spacing w:after="140" w:line="288"/>
        <w:jc w:val="left"/>
      </w:pPr>
      <w:r>
        <w:rPr>
          <w:rFonts w:ascii="Georgia" w:cs="Georgia" w:eastAsia="Georgia" w:hAnsi="Georgia"/>
          <w:sz w:val="21"/>
          <w:szCs w:val="21"/>
        </w:rPr>
        <w:t xml:space="preserve">Two things follow: explicit consent language at the point of sending, and an audit of whether any third-party script has access to message content.</w:t>
      </w:r>
    </w:p>
    <w:p>
      <w:pPr>
        <w:keepNext/>
        <w:spacing w:after="140" w:before="360"/>
      </w:pPr>
      <w:r>
        <w:rPr>
          <w:rFonts w:ascii="Georgia" w:cs="Georgia" w:eastAsia="Georgia" w:hAnsi="Georgia"/>
          <w:b/>
          <w:bCs/>
          <w:sz w:val="25"/>
          <w:szCs w:val="25"/>
        </w:rPr>
        <w:t xml:space="preserve">16. Incident response</w:t>
      </w:r>
    </w:p>
    <w:p>
      <w:pPr>
        <w:spacing w:after="140" w:line="288"/>
        <w:jc w:val="left"/>
      </w:pPr>
      <w:r>
        <w:rPr>
          <w:rFonts w:ascii="Georgia" w:cs="Georgia" w:eastAsia="Georgia" w:hAnsi="Georgia"/>
          <w:sz w:val="21"/>
          <w:szCs w:val="21"/>
        </w:rPr>
        <w:t xml:space="preserve">Texas Business and Commerce Code § 521.053 requires notification of affected individuals without unreasonable delay and no later than </w:t>
      </w:r>
      <w:r>
        <w:rPr>
          <w:rFonts w:ascii="Georgia" w:cs="Georgia" w:eastAsia="Georgia" w:hAnsi="Georgia"/>
          <w:b/>
          <w:bCs/>
          <w:sz w:val="21"/>
          <w:szCs w:val="21"/>
        </w:rPr>
        <w:t xml:space="preserve">60 days</w:t>
      </w:r>
      <w:r>
        <w:rPr>
          <w:rFonts w:ascii="Georgia" w:cs="Georgia" w:eastAsia="Georgia" w:hAnsi="Georgia"/>
          <w:sz w:val="21"/>
          <w:szCs w:val="21"/>
        </w:rPr>
        <w:t xml:space="preserve"> after discovery, and notification of the </w:t>
      </w:r>
      <w:r>
        <w:rPr>
          <w:rFonts w:ascii="Georgia" w:cs="Georgia" w:eastAsia="Georgia" w:hAnsi="Georgia"/>
          <w:b/>
          <w:bCs/>
          <w:sz w:val="21"/>
          <w:szCs w:val="21"/>
        </w:rPr>
        <w:t xml:space="preserve">Attorney General within 30 days</w:t>
      </w:r>
      <w:r>
        <w:rPr>
          <w:rFonts w:ascii="Georgia" w:cs="Georgia" w:eastAsia="Georgia" w:hAnsi="Georgia"/>
          <w:sz w:val="21"/>
          <w:szCs w:val="21"/>
        </w:rPr>
        <w:t xml:space="preserve"> where 250 or more Texas residents are affected. The Attorney General notice must describe the breach, the number affected, the measures taken and planned, and whether law enforcement is investigating. Penalties reach $250,000 per breach.</w:t>
      </w:r>
    </w:p>
    <w:p>
      <w:pPr>
        <w:spacing w:after="140" w:line="288"/>
        <w:jc w:val="left"/>
      </w:pPr>
      <w:r>
        <w:rPr>
          <w:rFonts w:ascii="Georgia" w:cs="Georgia" w:eastAsia="Georgia" w:hAnsi="Georgia"/>
          <w:sz w:val="21"/>
          <w:szCs w:val="21"/>
        </w:rPr>
        <w:t xml:space="preserve">The statute reaches non-Texas residents as well, though those individuals may be notified under their home state's law — which means a national buyer base implies managing fifty notification regimes.</w:t>
      </w:r>
    </w:p>
    <w:p>
      <w:pPr>
        <w:spacing w:after="140" w:line="288"/>
        <w:jc w:val="left"/>
      </w:pPr>
      <w:r>
        <w:rPr>
          <w:rFonts w:ascii="Georgia" w:cs="Georgia" w:eastAsia="Georgia" w:hAnsi="Georgia"/>
          <w:sz w:val="21"/>
          <w:szCs w:val="21"/>
        </w:rPr>
        <w:t xml:space="preserve">The underlying duty is not optional. An internal plan is what makes the 30-day clock survivable.</w:t>
      </w:r>
    </w:p>
    <w:p>
      <w:pPr>
        <w:keepNext/>
        <w:spacing w:after="140" w:before="360"/>
      </w:pPr>
      <w:r>
        <w:rPr>
          <w:rFonts w:ascii="Georgia" w:cs="Georgia" w:eastAsia="Georgia" w:hAnsi="Georgia"/>
          <w:b/>
          <w:bCs/>
          <w:sz w:val="25"/>
          <w:szCs w:val="25"/>
        </w:rPr>
        <w:t xml:space="preserve">17. Accessibility</w:t>
      </w:r>
    </w:p>
    <w:p>
      <w:pPr>
        <w:spacing w:after="140" w:line="288"/>
        <w:jc w:val="left"/>
      </w:pPr>
      <w:r>
        <w:rPr>
          <w:rFonts w:ascii="Georgia" w:cs="Georgia" w:eastAsia="Georgia" w:hAnsi="Georgia"/>
          <w:sz w:val="21"/>
          <w:szCs w:val="21"/>
        </w:rPr>
        <w:t xml:space="preserve">There is no binding federal web accessibility standard for private businesses. The Department of Justice's 2024 rule adopting WCAG 2.1 Level AA applies to state and local government entities under Title II only; Title III has no technical standard.</w:t>
      </w:r>
    </w:p>
    <w:p>
      <w:pPr>
        <w:spacing w:after="140" w:line="288"/>
        <w:jc w:val="left"/>
      </w:pPr>
      <w:r>
        <w:rPr>
          <w:rFonts w:ascii="Georgia" w:cs="Georgia" w:eastAsia="Georgia" w:hAnsi="Georgia"/>
          <w:sz w:val="21"/>
          <w:szCs w:val="21"/>
        </w:rPr>
        <w:t xml:space="preserve">The circuit position favours Custom Canvas. The </w:t>
      </w:r>
      <w:r>
        <w:rPr>
          <w:rFonts w:ascii="Georgia" w:cs="Georgia" w:eastAsia="Georgia" w:hAnsi="Georgia"/>
          <w:b/>
          <w:bCs/>
          <w:sz w:val="21"/>
          <w:szCs w:val="21"/>
        </w:rPr>
        <w:t xml:space="preserve">Fifth Circuit</w:t>
      </w:r>
      <w:r>
        <w:rPr>
          <w:rFonts w:ascii="Georgia" w:cs="Georgia" w:eastAsia="Georgia" w:hAnsi="Georgia"/>
          <w:sz w:val="21"/>
          <w:szCs w:val="21"/>
        </w:rPr>
        <w:t xml:space="preserve">, which covers Texas, applies a nexus test requiring a connection to a physical place of public accommodation, and an online-only marketplace has a real defence there. The First and increasingly the Seventh Circuits treat online-only businesses as public accommodations.</w:t>
      </w:r>
    </w:p>
    <w:p>
      <w:pPr>
        <w:spacing w:after="140" w:line="288"/>
        <w:jc w:val="left"/>
      </w:pPr>
      <w:r>
        <w:rPr>
          <w:rFonts w:ascii="Georgia" w:cs="Georgia" w:eastAsia="Georgia" w:hAnsi="Georgia"/>
          <w:sz w:val="21"/>
          <w:szCs w:val="21"/>
        </w:rPr>
        <w:t xml:space="preserve">The practical exposure is elsewhere: over 4,000 Title III suits were filed in 2024, concentrated in New York, Florida and California, and California's Unruh Act provides a </w:t>
      </w:r>
      <w:r>
        <w:rPr>
          <w:rFonts w:ascii="Georgia" w:cs="Georgia" w:eastAsia="Georgia" w:hAnsi="Georgia"/>
          <w:b/>
          <w:bCs/>
          <w:sz w:val="21"/>
          <w:szCs w:val="21"/>
        </w:rPr>
        <w:t xml:space="preserve">$4,000 statutory minimum per violation</w:t>
      </w:r>
      <w:r>
        <w:rPr>
          <w:rFonts w:ascii="Georgia" w:cs="Georgia" w:eastAsia="Georgia" w:hAnsi="Georgia"/>
          <w:sz w:val="21"/>
          <w:szCs w:val="21"/>
        </w:rPr>
        <w:t xml:space="preserve">. The Texas forum helps; California and New York buyers do not.</w:t>
      </w:r>
    </w:p>
    <w:p>
      <w:pPr>
        <w:spacing w:after="140" w:line="288"/>
        <w:jc w:val="left"/>
      </w:pPr>
      <w:r>
        <w:rPr>
          <w:rFonts w:ascii="Georgia" w:cs="Georgia" w:eastAsia="Georgia" w:hAnsi="Georgia"/>
          <w:sz w:val="21"/>
          <w:szCs w:val="21"/>
        </w:rPr>
        <w:t xml:space="preserve">Targeting WCAG 2.1 AA and publishing an accessibility statement with a contact method and a remediation commitment is inexpensive insurance. </w:t>
      </w:r>
      <w:r>
        <w:rPr>
          <w:rFonts w:ascii="Georgia" w:cs="Georgia" w:eastAsia="Georgia" w:hAnsi="Georgia"/>
          <w:b/>
          <w:bCs/>
          <w:sz w:val="21"/>
          <w:szCs w:val="21"/>
        </w:rPr>
        <w:t xml:space="preserve">Accessibility overlay widgets should be avoided</w:t>
      </w:r>
      <w:r>
        <w:rPr>
          <w:rFonts w:ascii="Georgia" w:cs="Georgia" w:eastAsia="Georgia" w:hAnsi="Georgia"/>
          <w:sz w:val="21"/>
          <w:szCs w:val="21"/>
        </w:rPr>
        <w:t xml:space="preserve"> — they have themselves become a litigation magnet.</w:t>
      </w:r>
    </w:p>
    <w:p>
      <w:pPr>
        <w:keepNext/>
        <w:spacing w:after="140" w:before="360"/>
      </w:pPr>
      <w:r>
        <w:rPr>
          <w:rFonts w:ascii="Georgia" w:cs="Georgia" w:eastAsia="Georgia" w:hAnsi="Georgia"/>
          <w:b/>
          <w:bCs/>
          <w:sz w:val="25"/>
          <w:szCs w:val="25"/>
        </w:rPr>
        <w:t xml:space="preserve">Confirmed as not applicable</w:t>
      </w:r>
    </w:p>
    <w:p>
      <w:pPr>
        <w:spacing w:after="140" w:line="288"/>
        <w:jc w:val="left"/>
      </w:pPr>
      <w:r>
        <w:rPr>
          <w:rFonts w:ascii="Georgia" w:cs="Georgia" w:eastAsia="Georgia" w:hAnsi="Georgia"/>
          <w:sz w:val="21"/>
          <w:szCs w:val="21"/>
        </w:rPr>
        <w:t xml:space="preserve">Each of the following was researched and found not to apply on the stated facts.</w:t>
      </w:r>
    </w:p>
    <w:p>
      <w:pPr>
        <w:spacing w:after="140" w:line="288"/>
        <w:jc w:val="left"/>
      </w:pPr>
      <w:r>
        <w:rPr>
          <w:rFonts w:ascii="Georgia" w:cs="Georgia" w:eastAsia="Georgia" w:hAnsi="Georgia"/>
          <w:b/>
          <w:bCs/>
          <w:sz w:val="21"/>
          <w:szCs w:val="21"/>
        </w:rPr>
        <w:t xml:space="preserve">California Consumer Privacy Act and the CPPA's automated decision-making, cybersecurity audit and risk assessment regulations.</w:t>
      </w:r>
      <w:r>
        <w:rPr>
          <w:rFonts w:ascii="Georgia" w:cs="Georgia" w:eastAsia="Georgia" w:hAnsi="Georgia"/>
          <w:sz w:val="21"/>
          <w:szCs w:val="21"/>
        </w:rPr>
        <w:t xml:space="preserve"> Revenue and consumer-count thresholds are not met, and the newer regulations reach only businesses already covered.</w:t>
      </w:r>
    </w:p>
    <w:p>
      <w:pPr>
        <w:spacing w:after="140" w:line="288"/>
        <w:jc w:val="left"/>
      </w:pPr>
      <w:r>
        <w:rPr>
          <w:rFonts w:ascii="Georgia" w:cs="Georgia" w:eastAsia="Georgia" w:hAnsi="Georgia"/>
          <w:b/>
          <w:bCs/>
          <w:sz w:val="21"/>
          <w:szCs w:val="21"/>
        </w:rPr>
        <w:t xml:space="preserve">Resale royalty.</w:t>
      </w:r>
      <w:r>
        <w:rPr>
          <w:rFonts w:ascii="Georgia" w:cs="Georgia" w:eastAsia="Georgia" w:hAnsi="Georgia"/>
          <w:sz w:val="21"/>
          <w:szCs w:val="21"/>
        </w:rPr>
        <w:t xml:space="preserve"> There is no federal droit de suite. The California Resale Royalty Act was held preempted by the Copyright Act for sales after 1 January 1978. No other state has one. This becomes relevant only if a secondary market is launched, and even then not as a royalty obligation.</w:t>
      </w:r>
    </w:p>
    <w:p>
      <w:pPr>
        <w:spacing w:after="140" w:line="288"/>
        <w:jc w:val="left"/>
      </w:pPr>
      <w:r>
        <w:rPr>
          <w:rFonts w:ascii="Georgia" w:cs="Georgia" w:eastAsia="Georgia" w:hAnsi="Georgia"/>
          <w:b/>
          <w:bCs/>
          <w:sz w:val="21"/>
          <w:szCs w:val="21"/>
        </w:rPr>
        <w:t xml:space="preserve">Texas auctioneer licensing.</w:t>
      </w:r>
      <w:r>
        <w:rPr>
          <w:rFonts w:ascii="Georgia" w:cs="Georgia" w:eastAsia="Georgia" w:hAnsi="Georgia"/>
          <w:sz w:val="21"/>
          <w:szCs w:val="21"/>
        </w:rPr>
        <w:t xml:space="preserve"> A licence is required only to conduct live bid auctions; HB 2481 removed the reference to regulating auctions over the internet. If bidding or "make an offer" functionality is added, note that other states do regulate online auctions.</w:t>
      </w:r>
    </w:p>
    <w:p>
      <w:pPr>
        <w:spacing w:after="140" w:line="288"/>
        <w:jc w:val="left"/>
      </w:pPr>
      <w:r>
        <w:rPr>
          <w:rFonts w:ascii="Georgia" w:cs="Georgia" w:eastAsia="Georgia" w:hAnsi="Georgia"/>
          <w:b/>
          <w:bCs/>
          <w:sz w:val="21"/>
          <w:szCs w:val="21"/>
        </w:rPr>
        <w:t xml:space="preserve">FTC Rule on Unfair or Deceptive Fees.</w:t>
      </w:r>
      <w:r>
        <w:rPr>
          <w:rFonts w:ascii="Georgia" w:cs="Georgia" w:eastAsia="Georgia" w:hAnsi="Georgia"/>
          <w:sz w:val="21"/>
          <w:szCs w:val="21"/>
        </w:rPr>
        <w:t xml:space="preserve"> Limited to live-event ticketing and short-term lodging.</w:t>
      </w:r>
    </w:p>
    <w:p>
      <w:pPr>
        <w:spacing w:after="140" w:line="288"/>
        <w:jc w:val="left"/>
      </w:pPr>
      <w:r>
        <w:rPr>
          <w:rFonts w:ascii="Georgia" w:cs="Georgia" w:eastAsia="Georgia" w:hAnsi="Georgia"/>
          <w:b/>
          <w:bCs/>
          <w:sz w:val="21"/>
          <w:szCs w:val="21"/>
        </w:rPr>
        <w:t xml:space="preserve">Bank Secrecy Act anti-money-laundering programme.</w:t>
      </w:r>
      <w:r>
        <w:rPr>
          <w:rFonts w:ascii="Georgia" w:cs="Georgia" w:eastAsia="Georgia" w:hAnsi="Georgia"/>
          <w:sz w:val="21"/>
          <w:szCs w:val="21"/>
        </w:rPr>
        <w:t xml:space="preserve"> FinCEN's art-market provisions under AMLA 2020 reached antiquities dealers; no formal programme requirement has been extended to dealers in contemporary art. OFAC sanctions compliance, by contrast, applies to all US persons with no threshold and on a strict liability basis — it belongs as a representation in the Terms of Service and Artist Agreement plus an internal screening procedure, not as a published policy. Stripe's Connect onboarding covers most of the realistic exposure.</w:t>
      </w:r>
    </w:p>
    <w:p>
      <w:pPr>
        <w:spacing w:after="140" w:line="288"/>
        <w:jc w:val="left"/>
      </w:pPr>
      <w:r>
        <w:rPr>
          <w:rFonts w:ascii="Georgia" w:cs="Georgia" w:eastAsia="Georgia" w:hAnsi="Georgia"/>
          <w:b/>
          <w:bCs/>
          <w:sz w:val="21"/>
          <w:szCs w:val="21"/>
        </w:rPr>
        <w:t xml:space="preserve">Texas Responsible AI Governance Act disclosure obligations.</w:t>
      </w:r>
      <w:r>
        <w:rPr>
          <w:rFonts w:ascii="Georgia" w:cs="Georgia" w:eastAsia="Georgia" w:hAnsi="Georgia"/>
          <w:sz w:val="21"/>
          <w:szCs w:val="21"/>
        </w:rPr>
        <w:t xml:space="preserve"> TRAIGA's disclosure duties fall on government agencies and, through SB 1188, healthcare. Ordinary private-sector commerce AI — recommendations, fraud scoring, content moderation — triggers no disclosure duty. The real AI question for this business is an authenticity question, not an AI-law one: whether AI-generated or AI-assisted work is permitted and how it must be disclosed. Misrepresenting AI-generated work as hand-made is a straightforward deception problem.</w:t>
      </w:r>
    </w:p>
    <w:p>
      <w:pPr>
        <w:spacing w:after="140" w:line="288"/>
        <w:jc w:val="left"/>
      </w:pPr>
      <w:r>
        <w:rPr>
          <w:rFonts w:ascii="Georgia" w:cs="Georgia" w:eastAsia="Georgia" w:hAnsi="Georgia"/>
          <w:b/>
          <w:bCs/>
          <w:sz w:val="21"/>
          <w:szCs w:val="21"/>
        </w:rPr>
        <w:t xml:space="preserve">Gift cards, referral programmes and sweepstakes.</w:t>
      </w:r>
      <w:r>
        <w:rPr>
          <w:rFonts w:ascii="Georgia" w:cs="Georgia" w:eastAsia="Georgia" w:hAnsi="Georgia"/>
          <w:sz w:val="21"/>
          <w:szCs w:val="21"/>
        </w:rPr>
        <w:t xml:space="preserve"> None currently offered. Each brings its own regime if launched. Note in passing that the FTC Mail Order Rule prohibits substituting store credit or a voucher for a required refund.</w:t>
      </w:r>
    </w:p>
    <w:p>
      <w:pPr>
        <w:keepNext/>
        <w:spacing w:after="140" w:before="360"/>
      </w:pPr>
      <w:r>
        <w:rPr>
          <w:rFonts w:ascii="Georgia" w:cs="Georgia" w:eastAsia="Georgia" w:hAnsi="Georgia"/>
          <w:b/>
          <w:bCs/>
          <w:sz w:val="25"/>
          <w:szCs w:val="25"/>
        </w:rPr>
        <w:t xml:space="preserve">Open questions</w:t>
      </w:r>
    </w:p>
    <w:p>
      <w:pPr>
        <w:spacing w:after="140" w:line="288"/>
        <w:jc w:val="left"/>
      </w:pPr>
      <w:r>
        <w:rPr>
          <w:rFonts w:ascii="Georgia" w:cs="Georgia" w:eastAsia="Georgia" w:hAnsi="Georgia"/>
          <w:sz w:val="21"/>
          <w:szCs w:val="21"/>
        </w:rPr>
        <w:t xml:space="preserve">Six questions could not be resolved from public sources and are put to counsel directly.</w:t>
      </w:r>
    </w:p>
    <w:p>
      <w:pPr>
        <w:pStyle w:val="ListParagraph"/>
        <w:numPr>
          <w:ilvl w:val="0"/>
          <w:numId w:val="2"/>
        </w:numPr>
        <w:spacing w:after="90" w:line="288"/>
      </w:pPr>
      <w:r>
        <w:rPr>
          <w:rFonts w:ascii="Georgia" w:cs="Georgia" w:eastAsia="Georgia" w:hAnsi="Georgia"/>
          <w:sz w:val="21"/>
          <w:szCs w:val="21"/>
        </w:rPr>
        <w:t xml:space="preserve">Whether original artwork is a "consumer product" under the Magnuson-Moss definition for INFORM purposes. No guidance exists.</w:t>
      </w:r>
    </w:p>
    <w:p>
      <w:pPr>
        <w:pStyle w:val="ListParagraph"/>
        <w:numPr>
          <w:ilvl w:val="0"/>
          <w:numId w:val="2"/>
        </w:numPr>
        <w:spacing w:after="90" w:line="288"/>
      </w:pPr>
      <w:r>
        <w:rPr>
          <w:rFonts w:ascii="Georgia" w:cs="Georgia" w:eastAsia="Georgia" w:hAnsi="Georgia"/>
          <w:sz w:val="21"/>
          <w:szCs w:val="21"/>
        </w:rPr>
        <w:t xml:space="preserve">Whether Texas Occupations Code chapter 2101 reaches a dealer who never takes physical delivery of the work.</w:t>
      </w:r>
    </w:p>
    <w:p>
      <w:pPr>
        <w:pStyle w:val="ListParagraph"/>
        <w:numPr>
          <w:ilvl w:val="0"/>
          <w:numId w:val="2"/>
        </w:numPr>
        <w:spacing w:after="90" w:line="288"/>
      </w:pPr>
      <w:r>
        <w:rPr>
          <w:rFonts w:ascii="Georgia" w:cs="Georgia" w:eastAsia="Georgia" w:hAnsi="Georgia"/>
          <w:sz w:val="21"/>
          <w:szCs w:val="21"/>
        </w:rPr>
        <w:t xml:space="preserve">Whether state-level INFORM analogues exist with lower thresholds, and whether Texas has one.</w:t>
      </w:r>
    </w:p>
    <w:p>
      <w:pPr>
        <w:pStyle w:val="ListParagraph"/>
        <w:numPr>
          <w:ilvl w:val="0"/>
          <w:numId w:val="2"/>
        </w:numPr>
        <w:spacing w:after="90" w:line="288"/>
      </w:pPr>
      <w:r>
        <w:rPr>
          <w:rFonts w:ascii="Georgia" w:cs="Georgia" w:eastAsia="Georgia" w:hAnsi="Georgia"/>
          <w:sz w:val="21"/>
          <w:szCs w:val="21"/>
        </w:rPr>
        <w:t xml:space="preserve">Texas money transmitter licensing treatment of a merchant-of-record platform operating on Stripe destination charges. Platforms using this structure generally avoid licensing because funds do not rest in platform-controlled accounts and Stripe is the licensed party, and most states have an agent-of-the-payee exemption. Merchant-of-record structures where the platform sets pricing and takes commission have nonetheless been scrutinised.</w:t>
      </w:r>
    </w:p>
    <w:p>
      <w:pPr>
        <w:pStyle w:val="ListParagraph"/>
        <w:numPr>
          <w:ilvl w:val="0"/>
          <w:numId w:val="2"/>
        </w:numPr>
        <w:spacing w:after="90" w:line="288"/>
      </w:pPr>
      <w:r>
        <w:rPr>
          <w:rFonts w:ascii="Georgia" w:cs="Georgia" w:eastAsia="Georgia" w:hAnsi="Georgia"/>
          <w:sz w:val="21"/>
          <w:szCs w:val="21"/>
        </w:rPr>
        <w:t xml:space="preserve">The exact dollar threshold in California Civil Code § 1742.6.</w:t>
      </w:r>
    </w:p>
    <w:p>
      <w:pPr>
        <w:pStyle w:val="ListParagraph"/>
        <w:numPr>
          <w:ilvl w:val="0"/>
          <w:numId w:val="2"/>
        </w:numPr>
        <w:spacing w:after="90" w:line="288"/>
      </w:pPr>
      <w:r>
        <w:rPr>
          <w:rFonts w:ascii="Georgia" w:cs="Georgia" w:eastAsia="Georgia" w:hAnsi="Georgia"/>
          <w:sz w:val="21"/>
          <w:szCs w:val="21"/>
        </w:rPr>
        <w:t xml:space="preserve">The current injunction status of the Texas SCOPE Act, if there is any doubt about the enforced 18-and-over gate.</w:t>
      </w:r>
    </w:p>
    <w:p>
      <w:pPr>
        <w:keepNext/>
        <w:spacing w:after="140" w:before="360"/>
      </w:pPr>
      <w:r>
        <w:rPr>
          <w:rFonts w:ascii="Georgia" w:cs="Georgia" w:eastAsia="Georgia" w:hAnsi="Georgia"/>
          <w:b/>
          <w:bCs/>
          <w:sz w:val="25"/>
          <w:szCs w:val="25"/>
        </w:rPr>
        <w:t xml:space="preserve">Recommended order of work</w:t>
      </w:r>
    </w:p>
    <w:p>
      <w:pPr>
        <w:spacing w:after="140" w:line="288"/>
        <w:jc w:val="left"/>
      </w:pPr>
      <w:r>
        <w:rPr>
          <w:rFonts w:ascii="Georgia" w:cs="Georgia" w:eastAsia="Georgia" w:hAnsi="Georgia"/>
          <w:b/>
          <w:bCs/>
          <w:sz w:val="21"/>
          <w:szCs w:val="21"/>
        </w:rPr>
        <w:t xml:space="preserve">Before launch.</w:t>
      </w:r>
      <w:r>
        <w:rPr>
          <w:rFonts w:ascii="Georgia" w:cs="Georgia" w:eastAsia="Georgia" w:hAnsi="Georgia"/>
          <w:sz w:val="21"/>
          <w:szCs w:val="21"/>
        </w:rPr>
        <w:t xml:space="preserve"> Resolve the service fee display against SB 478. Add the Texas marketplace tax certification. Collect W-9s at onboarding and confirm the Stripe fee-payer configuration. Review the Privacy Policy against the TDPSA and implement Global Privacy Control detection. State shipping windows on listings and add artist ship-by obligations. Register the DMCA agent. Restrict shipping to the United States. Decide whether editions are in scope. Remove any DTPA waiver and split the arbitration clauses.</w:t>
      </w:r>
    </w:p>
    <w:p>
      <w:pPr>
        <w:spacing w:after="140" w:line="288"/>
        <w:jc w:val="left"/>
      </w:pPr>
      <w:r>
        <w:rPr>
          <w:rFonts w:ascii="Georgia" w:cs="Georgia" w:eastAsia="Georgia" w:hAnsi="Georgia"/>
          <w:b/>
          <w:bCs/>
          <w:sz w:val="21"/>
          <w:szCs w:val="21"/>
        </w:rPr>
        <w:t xml:space="preserve">Within ninety days.</w:t>
      </w:r>
      <w:r>
        <w:rPr>
          <w:rFonts w:ascii="Georgia" w:cs="Georgia" w:eastAsia="Georgia" w:hAnsi="Georgia"/>
          <w:sz w:val="21"/>
          <w:szCs w:val="21"/>
        </w:rPr>
        <w:t xml:space="preserve"> INFORM contractual hooks and transaction counter. Suspension and appeals policy. Repeat-infringer policy. Reviews policy. Incident response plan. Consent infrastructure for any marketing messaging. Consignment characterisation in the Artist Agreement.</w:t>
      </w:r>
    </w:p>
    <w:p>
      <w:pPr>
        <w:spacing w:after="140" w:line="288"/>
        <w:jc w:val="left"/>
      </w:pPr>
      <w:r>
        <w:rPr>
          <w:rFonts w:ascii="Georgia" w:cs="Georgia" w:eastAsia="Georgia" w:hAnsi="Georgia"/>
          <w:b/>
          <w:bCs/>
          <w:sz w:val="21"/>
          <w:szCs w:val="21"/>
        </w:rPr>
        <w:t xml:space="preserve">When triggered.</w:t>
      </w:r>
      <w:r>
        <w:rPr>
          <w:rFonts w:ascii="Georgia" w:cs="Georgia" w:eastAsia="Georgia" w:hAnsi="Georgia"/>
          <w:sz w:val="21"/>
          <w:szCs w:val="21"/>
        </w:rPr>
        <w:t xml:space="preserve"> Gift cards, referral programmes, sweepstakes, international expansion. The accessibility statement is cheap enough to do early.</w:t>
      </w:r>
    </w:p>
    <w:p>
      <w:pPr>
        <w:pBdr>
          <w:top w:val="single" w:color="C4CACB" w:sz="4" w:space="12"/>
        </w:pBdr>
        <w:spacing w:before="360"/>
      </w:pPr>
    </w:p>
    <w:p>
      <w:pPr>
        <w:spacing w:after="40" w:before="200"/>
      </w:pPr>
      <w:r>
        <w:rPr>
          <w:rFonts w:ascii="Georgia" w:cs="Georgia" w:eastAsia="Georgia" w:hAnsi="Georgia"/>
          <w:b/>
          <w:bCs/>
          <w:color w:val="3D4749"/>
          <w:sz w:val="18"/>
          <w:szCs w:val="18"/>
        </w:rPr>
        <w:t xml:space="preserve">Custom Canvas LLC</w:t>
      </w:r>
    </w:p>
    <w:p>
      <w:pPr>
        <w:spacing w:after="30"/>
      </w:pPr>
      <w:r>
        <w:rPr>
          <w:rFonts w:ascii="Georgia" w:cs="Georgia" w:eastAsia="Georgia" w:hAnsi="Georgia"/>
          <w:color w:val="4A5456"/>
          <w:sz w:val="18"/>
          <w:szCs w:val="18"/>
        </w:rPr>
        <w:t xml:space="preserve">3120 Southwest Freeway, Ste 101 #991985, Houston, Texas 77098</w:t>
      </w:r>
    </w:p>
    <w:p>
      <w:pPr>
        <w:spacing w:after="0"/>
      </w:pPr>
      <w:r>
        <w:rPr>
          <w:rFonts w:ascii="Georgia" w:cs="Georgia" w:eastAsia="Georgia" w:hAnsi="Georgia"/>
          <w:color w:val="4A5456"/>
          <w:sz w:val="18"/>
          <w:szCs w:val="18"/>
        </w:rPr>
        <w:t xml:space="preserve">support@customcanvas.shop  ·  customcanvas.shop</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DDE" w:sz="4" w:space="8"/>
      </w:pBdr>
      <w:tabs>
        <w:tab w:val="right" w:pos="9360"/>
      </w:tabs>
    </w:pPr>
    <w:r>
      <w:rPr>
        <w:rFonts w:ascii="Georgia" w:cs="Georgia" w:eastAsia="Georgia" w:hAnsi="Georgia"/>
        <w:color w:val="6E7B7D"/>
        <w:sz w:val="16"/>
        <w:szCs w:val="16"/>
      </w:rPr>
      <w:t xml:space="preserve">Custom Canvas LLC — Coverage Review and Gap Analysis</w:t>
    </w:r>
    <w:r>
      <w:rPr>
        <w:rFonts w:ascii="Georgia" w:cs="Georgia" w:eastAsia="Georgia" w:hAnsi="Georgia"/>
        <w:sz w:val="16"/>
        <w:szCs w:val="16"/>
      </w:rPr>
      <w:t xml:space="preserve">		</w:t>
    </w:r>
    <w:r>
      <w:rPr>
        <w:rFonts w:ascii="Georgia" w:cs="Georgia" w:eastAsia="Georgia" w:hAnsi="Georgia"/>
        <w:color w:val="6E7B7D"/>
        <w:sz w:val="16"/>
        <w:szCs w:val="16"/>
      </w:rPr>
      <w:t xml:space="preserve">Page </w:t>
    </w:r>
    <w:r>
      <w:rPr>
        <w:rFonts w:ascii="Georgia" w:cs="Georgia" w:eastAsia="Georgia" w:hAnsi="Georgia"/>
        <w:color w:val="6E7B7D"/>
        <w:sz w:val="16"/>
        <w:szCs w:val="16"/>
      </w:rPr>
      <w:fldChar w:fldCharType="begin"/>
      <w:instrText xml:space="preserve">PAGE</w:instrText>
      <w:fldChar w:fldCharType="separate"/>
      <w:fldChar w:fldCharType="end"/>
    </w:r>
    <w:r>
      <w:rPr>
        <w:rFonts w:ascii="Georgia" w:cs="Georgia" w:eastAsia="Georgia" w:hAnsi="Georgia"/>
        <w:color w:val="6E7B7D"/>
        <w:sz w:val="16"/>
        <w:szCs w:val="16"/>
      </w:rPr>
      <w:t xml:space="preserve"> of </w:t>
    </w:r>
    <w:r>
      <w:rPr>
        <w:rFonts w:ascii="Georgia" w:cs="Georgia" w:eastAsia="Georgia" w:hAnsi="Georgia"/>
        <w:color w:val="6E7B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2026-08-25T22:19:19.731Z</dcterms:created>
  <dcterms:modified xsi:type="dcterms:W3CDTF">2026-08-25T22:19:19.731Z</dcterms:modified>
</cp:coreProperties>
</file>

<file path=docProps/custom.xml><?xml version="1.0" encoding="utf-8"?>
<Properties xmlns="http://schemas.openxmlformats.org/officeDocument/2006/custom-properties" xmlns:vt="http://schemas.openxmlformats.org/officeDocument/2006/docPropsVTypes"/>
</file>