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Content Review Memorandum</w:t>
      </w:r>
    </w:p>
    <w:p>
      <w:pPr>
        <w:pBdr>
          <w:bottom w:val="single" w:color="C4CACB" w:sz="6" w:space="10"/>
        </w:pBdr>
        <w:spacing w:after="60"/>
      </w:pPr>
      <w:r>
        <w:rPr>
          <w:rFonts w:ascii="Georgia" w:cs="Georgia" w:eastAsia="Georgia" w:hAnsi="Georgia"/>
          <w:color w:val="4A5456"/>
          <w:sz w:val="20"/>
          <w:szCs w:val="20"/>
        </w:rPr>
        <w:t xml:space="preserve">Prepared for counsel review</w:t>
      </w:r>
    </w:p>
    <w:p>
      <w:pPr>
        <w:spacing w:after="200"/>
      </w:pPr>
    </w:p>
    <w:p>
      <w:pPr>
        <w:spacing w:after="140" w:line="288"/>
        <w:jc w:val="left"/>
      </w:pPr>
      <w:r>
        <w:rPr>
          <w:rFonts w:ascii="Georgia" w:cs="Georgia" w:eastAsia="Georgia" w:hAnsi="Georgia"/>
          <w:b/>
          <w:bCs/>
          <w:sz w:val="21"/>
          <w:szCs w:val="21"/>
        </w:rPr>
        <w:t xml:space="preserve">To:</w:t>
      </w:r>
      <w:r>
        <w:rPr>
          <w:rFonts w:ascii="Georgia" w:cs="Georgia" w:eastAsia="Georgia" w:hAnsi="Georgia"/>
          <w:sz w:val="21"/>
          <w:szCs w:val="21"/>
        </w:rPr>
        <w:t xml:space="preserve"> Counsel </w:t>
      </w:r>
      <w:r>
        <w:rPr>
          <w:rFonts w:ascii="Georgia" w:cs="Georgia" w:eastAsia="Georgia" w:hAnsi="Georgia"/>
          <w:b/>
          <w:bCs/>
          <w:sz w:val="21"/>
          <w:szCs w:val="21"/>
        </w:rPr>
        <w:t xml:space="preserve">From:</w:t>
      </w:r>
      <w:r>
        <w:rPr>
          <w:rFonts w:ascii="Georgia" w:cs="Georgia" w:eastAsia="Georgia" w:hAnsi="Georgia"/>
          <w:sz w:val="21"/>
          <w:szCs w:val="21"/>
        </w:rPr>
        <w:t xml:space="preserve"> Custom Canvas LLC </w:t>
      </w:r>
      <w:r>
        <w:rPr>
          <w:rFonts w:ascii="Georgia" w:cs="Georgia" w:eastAsia="Georgia" w:hAnsi="Georgia"/>
          <w:b/>
          <w:bCs/>
          <w:sz w:val="21"/>
          <w:szCs w:val="21"/>
        </w:rPr>
        <w:t xml:space="preserve">Date:</w:t>
      </w:r>
      <w:r>
        <w:rPr>
          <w:rFonts w:ascii="Georgia" w:cs="Georgia" w:eastAsia="Georgia" w:hAnsi="Georgia"/>
          <w:sz w:val="21"/>
          <w:szCs w:val="21"/>
        </w:rPr>
        <w:t xml:space="preserve"> 2026-08-25 </w:t>
      </w:r>
      <w:r>
        <w:rPr>
          <w:rFonts w:ascii="Georgia" w:cs="Georgia" w:eastAsia="Georgia" w:hAnsi="Georgia"/>
          <w:b/>
          <w:bCs/>
          <w:sz w:val="21"/>
          <w:szCs w:val="21"/>
        </w:rPr>
        <w:t xml:space="preserve">Re:</w:t>
      </w:r>
      <w:r>
        <w:rPr>
          <w:rFonts w:ascii="Georgia" w:cs="Georgia" w:eastAsia="Georgia" w:hAnsi="Georgia"/>
          <w:sz w:val="21"/>
          <w:szCs w:val="21"/>
        </w:rPr>
        <w:t xml:space="preserve"> Legal document set — review findings, changes made, decisions required</w:t>
      </w:r>
    </w:p>
    <w:p>
      <w:pPr>
        <w:keepNext/>
        <w:spacing w:after="140" w:before="360"/>
      </w:pPr>
      <w:r>
        <w:rPr>
          <w:rFonts w:ascii="Georgia" w:cs="Georgia" w:eastAsia="Georgia" w:hAnsi="Georgia"/>
          <w:b/>
          <w:bCs/>
          <w:sz w:val="25"/>
          <w:szCs w:val="25"/>
        </w:rPr>
        <w:t xml:space="preserve">1. How to read this set</w:t>
      </w:r>
    </w:p>
    <w:p>
      <w:pPr>
        <w:spacing w:after="140" w:line="288"/>
        <w:jc w:val="left"/>
      </w:pPr>
      <w:r>
        <w:rPr>
          <w:rFonts w:ascii="Georgia" w:cs="Georgia" w:eastAsia="Georgia" w:hAnsi="Georgia"/>
          <w:sz w:val="21"/>
          <w:szCs w:val="21"/>
        </w:rPr>
        <w:t xml:space="preserve">Start with the </w:t>
      </w:r>
      <w:r>
        <w:rPr>
          <w:rFonts w:ascii="Georgia" w:cs="Georgia" w:eastAsia="Georgia" w:hAnsi="Georgia"/>
          <w:b/>
          <w:bCs/>
          <w:sz w:val="21"/>
          <w:szCs w:val="21"/>
        </w:rPr>
        <w:t xml:space="preserve">Operational Brief</w:t>
      </w:r>
      <w:r>
        <w:rPr>
          <w:rFonts w:ascii="Georgia" w:cs="Georgia" w:eastAsia="Georgia" w:hAnsi="Georgia"/>
          <w:sz w:val="21"/>
          <w:szCs w:val="21"/>
        </w:rPr>
        <w:t xml:space="preserve">. It describes what the platform actually does, in code, including the fee formula, the payout mechanics and the seller-protection logic. Nothing else in the set can be assessed without it.</w:t>
      </w:r>
    </w:p>
    <w:p>
      <w:pPr>
        <w:spacing w:after="140" w:line="288"/>
        <w:jc w:val="left"/>
      </w:pPr>
      <w:r>
        <w:rPr>
          <w:rFonts w:ascii="Georgia" w:cs="Georgia" w:eastAsia="Georgia" w:hAnsi="Georgia"/>
          <w:sz w:val="21"/>
          <w:szCs w:val="21"/>
        </w:rPr>
        <w:t xml:space="preserve">Then the four documents that carry the exposure: </w:t>
      </w:r>
      <w:r>
        <w:rPr>
          <w:rFonts w:ascii="Georgia" w:cs="Georgia" w:eastAsia="Georgia" w:hAnsi="Georgia"/>
          <w:b/>
          <w:bCs/>
          <w:sz w:val="21"/>
          <w:szCs w:val="21"/>
        </w:rPr>
        <w:t xml:space="preserve">Artist Agreement</w:t>
      </w:r>
      <w:r>
        <w:rPr>
          <w:rFonts w:ascii="Georgia" w:cs="Georgia" w:eastAsia="Georgia" w:hAnsi="Georgia"/>
          <w:sz w:val="21"/>
          <w:szCs w:val="21"/>
        </w:rPr>
        <w:t xml:space="preserve">, </w:t>
      </w:r>
      <w:r>
        <w:rPr>
          <w:rFonts w:ascii="Georgia" w:cs="Georgia" w:eastAsia="Georgia" w:hAnsi="Georgia"/>
          <w:b/>
          <w:bCs/>
          <w:sz w:val="21"/>
          <w:szCs w:val="21"/>
        </w:rPr>
        <w:t xml:space="preserve">Terms of Sale</w:t>
      </w:r>
      <w:r>
        <w:rPr>
          <w:rFonts w:ascii="Georgia" w:cs="Georgia" w:eastAsia="Georgia" w:hAnsi="Georgia"/>
          <w:sz w:val="21"/>
          <w:szCs w:val="21"/>
        </w:rPr>
        <w:t xml:space="preserve">, </w:t>
      </w:r>
      <w:r>
        <w:rPr>
          <w:rFonts w:ascii="Georgia" w:cs="Georgia" w:eastAsia="Georgia" w:hAnsi="Georgia"/>
          <w:b/>
          <w:bCs/>
          <w:sz w:val="21"/>
          <w:szCs w:val="21"/>
        </w:rPr>
        <w:t xml:space="preserve">Terms of Service</w:t>
      </w:r>
      <w:r>
        <w:rPr>
          <w:rFonts w:ascii="Georgia" w:cs="Georgia" w:eastAsia="Georgia" w:hAnsi="Georgia"/>
          <w:sz w:val="21"/>
          <w:szCs w:val="21"/>
        </w:rPr>
        <w:t xml:space="preserve">, </w:t>
      </w:r>
      <w:r>
        <w:rPr>
          <w:rFonts w:ascii="Georgia" w:cs="Georgia" w:eastAsia="Georgia" w:hAnsi="Georgia"/>
          <w:b/>
          <w:bCs/>
          <w:sz w:val="21"/>
          <w:szCs w:val="21"/>
        </w:rPr>
        <w:t xml:space="preserve">Seller Protection</w:t>
      </w:r>
      <w:r>
        <w:rPr>
          <w:rFonts w:ascii="Georgia" w:cs="Georgia" w:eastAsia="Georgia" w:hAnsi="Georgia"/>
          <w:sz w:val="21"/>
          <w:szCs w:val="21"/>
        </w:rPr>
        <w:t xml:space="preserve">. The remaining policies are shorter and mostly downstream of decisions taken in those four.</w:t>
      </w:r>
    </w:p>
    <w:p>
      <w:pPr>
        <w:spacing w:after="140" w:line="288"/>
        <w:jc w:val="left"/>
      </w:pPr>
      <w:r>
        <w:rPr>
          <w:rFonts w:ascii="Georgia" w:cs="Georgia" w:eastAsia="Georgia" w:hAnsi="Georgia"/>
          <w:sz w:val="21"/>
          <w:szCs w:val="21"/>
        </w:rPr>
        <w:t xml:space="preserve">Every business decision embedded in these documents is collected in the accompanying memorandum </w:t>
      </w:r>
      <w:r>
        <w:rPr>
          <w:rFonts w:ascii="Georgia" w:cs="Georgia" w:eastAsia="Georgia" w:hAnsi="Georgia"/>
          <w:b/>
          <w:bCs/>
          <w:sz w:val="21"/>
          <w:szCs w:val="21"/>
        </w:rPr>
        <w:t xml:space="preserve">Decisions Required from Counsel</w:t>
      </w:r>
      <w:r>
        <w:rPr>
          <w:rFonts w:ascii="Georgia" w:cs="Georgia" w:eastAsia="Georgia" w:hAnsi="Georgia"/>
          <w:sz w:val="21"/>
          <w:szCs w:val="21"/>
        </w:rPr>
        <w:t xml:space="preserve"> with the reasoning that produced it. There are no blanks to fill: each question is answered in the text so that you edit rather than originate, but every answer is overrulable.</w:t>
      </w:r>
    </w:p>
    <w:p>
      <w:pPr>
        <w:keepNext/>
        <w:spacing w:after="140" w:before="360"/>
      </w:pPr>
      <w:r>
        <w:rPr>
          <w:rFonts w:ascii="Georgia" w:cs="Georgia" w:eastAsia="Georgia" w:hAnsi="Georgia"/>
          <w:b/>
          <w:bCs/>
          <w:sz w:val="25"/>
          <w:szCs w:val="25"/>
        </w:rPr>
        <w:t xml:space="preserve">2. The four findings that matter most</w:t>
      </w:r>
    </w:p>
    <w:p>
      <w:pPr>
        <w:spacing w:after="140" w:line="288"/>
        <w:jc w:val="left"/>
      </w:pPr>
      <w:r>
        <w:rPr>
          <w:rFonts w:ascii="Georgia" w:cs="Georgia" w:eastAsia="Georgia" w:hAnsi="Georgia"/>
          <w:b/>
          <w:bCs/>
          <w:sz w:val="21"/>
          <w:szCs w:val="21"/>
        </w:rPr>
        <w:t xml:space="preserve">A. The shipping window is a legal promise, not a service level.</w:t>
      </w:r>
      <w:r>
        <w:rPr>
          <w:rFonts w:ascii="Georgia" w:cs="Georgia" w:eastAsia="Georgia" w:hAnsi="Georgia"/>
          <w:sz w:val="21"/>
          <w:szCs w:val="21"/>
        </w:rPr>
        <w:t xml:space="preserve"> Every listing displays a 5-business-day shipping window, and Custom Canvas is the merchant of record. That appears to bring the sale within the FTC's Mail, Internet, or Telephone Order Merchandise Rule, which requires a seller who cannot ship in the promised time to get the buyer's agreement to a new date or refund them promptly. The live product treats a late shipment as a conversation between the buyer and the artist, with no cancellation right and no mechanism for Custom Canvas to refund without artist approval. These documents add that right. </w:t>
      </w:r>
      <w:r>
        <w:rPr>
          <w:rFonts w:ascii="Georgia" w:cs="Georgia" w:eastAsia="Georgia" w:hAnsi="Georgia"/>
          <w:b/>
          <w:bCs/>
          <w:sz w:val="21"/>
          <w:szCs w:val="21"/>
        </w:rPr>
        <w:t xml:space="preserve">The code does not implement it yet.</w:t>
      </w:r>
    </w:p>
    <w:p>
      <w:pPr>
        <w:spacing w:after="140" w:line="288"/>
        <w:jc w:val="left"/>
      </w:pPr>
      <w:r>
        <w:rPr>
          <w:rFonts w:ascii="Georgia" w:cs="Georgia" w:eastAsia="Georgia" w:hAnsi="Georgia"/>
          <w:b/>
          <w:bCs/>
          <w:sz w:val="21"/>
          <w:szCs w:val="21"/>
        </w:rPr>
        <w:t xml:space="preserve">B. Seller Protection promises artists something the platform cannot deliver.</w:t>
      </w:r>
      <w:r>
        <w:rPr>
          <w:rFonts w:ascii="Georgia" w:cs="Georgia" w:eastAsia="Georgia" w:hAnsi="Georgia"/>
          <w:sz w:val="21"/>
          <w:szCs w:val="21"/>
        </w:rPr>
        <w:t xml:space="preserve"> The protection rules say a local pickup order is protected once both parties confirm the handoff in the message thread. That confirmation feature has not been built, so every pickup order currently evaluates as unprotected. Publishing the rule as written would tell artists they are covered when the system has already decided they are not. Related: delivery confirmation is artist-attested rather than read from a carrier, which means a condition of protection is currently self-certified. Both are now disclosed in the artist-facing text. Both disclosures are commercially unwelcome and, in my view, not optional.</w:t>
      </w:r>
    </w:p>
    <w:p>
      <w:pPr>
        <w:spacing w:after="140" w:line="288"/>
        <w:jc w:val="left"/>
      </w:pPr>
      <w:r>
        <w:rPr>
          <w:rFonts w:ascii="Georgia" w:cs="Georgia" w:eastAsia="Georgia" w:hAnsi="Georgia"/>
          <w:b/>
          <w:bCs/>
          <w:sz w:val="21"/>
          <w:szCs w:val="21"/>
        </w:rPr>
        <w:t xml:space="preserve">C. Merchant of record plus a total warranty disclaimer.</w:t>
      </w:r>
      <w:r>
        <w:rPr>
          <w:rFonts w:ascii="Georgia" w:cs="Georgia" w:eastAsia="Georgia" w:hAnsi="Georgia"/>
          <w:sz w:val="21"/>
          <w:szCs w:val="21"/>
        </w:rPr>
        <w:t xml:space="preserve"> We are the buyer's counterparty for the goods and simultaneously disclaim every warranty about authenticity, attribution, condition, value and provenance. The disclaimer is drafted to be conspicuous and names merchantability, but a disclaimer does not answer a Texas DTPA claim built on a representation, and the listing text is hosted by us. The mitigation already in these documents is the promise to refund a substantiated misdescription regardless of the artist's view. </w:t>
      </w:r>
      <w:r>
        <w:rPr>
          <w:rFonts w:ascii="Georgia" w:cs="Georgia" w:eastAsia="Georgia" w:hAnsi="Georgia"/>
          <w:b/>
          <w:bCs/>
          <w:sz w:val="21"/>
          <w:szCs w:val="21"/>
        </w:rPr>
        <w:t xml:space="preserve">Please rule on whether that is sufficient, or whether the structure should change so the artist is seller of record for the goods while Custom Canvas remains merchant of record for payment only.</w:t>
      </w:r>
      <w:r>
        <w:rPr>
          <w:rFonts w:ascii="Georgia" w:cs="Georgia" w:eastAsia="Georgia" w:hAnsi="Georgia"/>
          <w:sz w:val="21"/>
          <w:szCs w:val="21"/>
        </w:rPr>
        <w:t xml:space="preserve"> This is the question I would most like an hour of your time on.</w:t>
      </w:r>
    </w:p>
    <w:p>
      <w:pPr>
        <w:spacing w:after="140" w:line="288"/>
        <w:jc w:val="left"/>
      </w:pPr>
      <w:r>
        <w:rPr>
          <w:rFonts w:ascii="Georgia" w:cs="Georgia" w:eastAsia="Georgia" w:hAnsi="Georgia"/>
          <w:b/>
          <w:bCs/>
          <w:sz w:val="21"/>
          <w:szCs w:val="21"/>
        </w:rPr>
        <w:t xml:space="preserve">D. The buyer's checkout document contained no dispute-resolution clause.</w:t>
      </w:r>
      <w:r>
        <w:rPr>
          <w:rFonts w:ascii="Georgia" w:cs="Georgia" w:eastAsia="Georgia" w:hAnsi="Georgia"/>
          <w:sz w:val="21"/>
          <w:szCs w:val="21"/>
        </w:rPr>
        <w:t xml:space="preserve"> Arbitration, the class waiver and the opt-out all lived in the Terms of Service. The Terms of Sale is what a buyer accepts at the Pay button. A new §9 now incorporates them expressly. Confirm that incorporation binds.</w:t>
      </w:r>
    </w:p>
    <w:p>
      <w:pPr>
        <w:keepNext/>
        <w:spacing w:after="140" w:before="360"/>
      </w:pPr>
      <w:r>
        <w:rPr>
          <w:rFonts w:ascii="Georgia" w:cs="Georgia" w:eastAsia="Georgia" w:hAnsi="Georgia"/>
          <w:b/>
          <w:bCs/>
          <w:sz w:val="25"/>
          <w:szCs w:val="25"/>
        </w:rPr>
        <w:t xml:space="preserve">3. Corrections of fact</w:t>
      </w:r>
    </w:p>
    <w:p>
      <w:pPr>
        <w:pStyle w:val="ListParagraph"/>
        <w:numPr>
          <w:ilvl w:val="0"/>
          <w:numId w:val="1"/>
        </w:numPr>
        <w:spacing w:after="90" w:line="288"/>
      </w:pPr>
      <w:r>
        <w:rPr>
          <w:rFonts w:ascii="Georgia" w:cs="Georgia" w:eastAsia="Georgia" w:hAnsi="Georgia"/>
          <w:b/>
          <w:bCs/>
          <w:sz w:val="21"/>
          <w:szCs w:val="21"/>
        </w:rPr>
        <w:t xml:space="preserve">Texas breach notification.</w:t>
      </w:r>
      <w:r>
        <w:rPr>
          <w:rFonts w:ascii="Georgia" w:cs="Georgia" w:eastAsia="Georgia" w:hAnsi="Georgia"/>
          <w:sz w:val="21"/>
          <w:szCs w:val="21"/>
        </w:rPr>
        <w:t xml:space="preserve"> The previous Privacy Policy gave 60 days for both individual and Attorney General notice. The AG deadline is 30 days, at a threshold of 250 or more Texas residents; individual notice stays at 60. Corrected, and flagged for you to verify against the current statute.</w:t>
      </w:r>
    </w:p>
    <w:p>
      <w:pPr>
        <w:pStyle w:val="ListParagraph"/>
        <w:numPr>
          <w:ilvl w:val="0"/>
          <w:numId w:val="1"/>
        </w:numPr>
        <w:spacing w:after="90" w:line="288"/>
      </w:pPr>
      <w:r>
        <w:rPr>
          <w:rFonts w:ascii="Georgia" w:cs="Georgia" w:eastAsia="Georgia" w:hAnsi="Georgia"/>
          <w:b/>
          <w:bCs/>
          <w:sz w:val="21"/>
          <w:szCs w:val="21"/>
        </w:rPr>
        <w:t xml:space="preserve">Service fee.</w:t>
      </w:r>
      <w:r>
        <w:rPr>
          <w:rFonts w:ascii="Georgia" w:cs="Georgia" w:eastAsia="Georgia" w:hAnsi="Georgia"/>
          <w:sz w:val="21"/>
          <w:szCs w:val="21"/>
        </w:rPr>
        <w:t xml:space="preserve"> Described to buyers as "roughly 3%". The formula includes a fixed per-order component, so the effective rate on a small order is materially higher. Now described accurately.</w:t>
      </w:r>
    </w:p>
    <w:p>
      <w:pPr>
        <w:pStyle w:val="ListParagraph"/>
        <w:numPr>
          <w:ilvl w:val="0"/>
          <w:numId w:val="1"/>
        </w:numPr>
        <w:spacing w:after="90" w:line="288"/>
      </w:pPr>
      <w:r>
        <w:rPr>
          <w:rFonts w:ascii="Georgia" w:cs="Georgia" w:eastAsia="Georgia" w:hAnsi="Georgia"/>
          <w:b/>
          <w:bCs/>
          <w:sz w:val="21"/>
          <w:szCs w:val="21"/>
        </w:rPr>
        <w:t xml:space="preserve">Insurance.</w:t>
      </w:r>
      <w:r>
        <w:rPr>
          <w:rFonts w:ascii="Georgia" w:cs="Georgia" w:eastAsia="Georgia" w:hAnsi="Georgia"/>
          <w:sz w:val="21"/>
          <w:szCs w:val="21"/>
        </w:rPr>
        <w:t xml:space="preserve"> Artists were required to insure every shipment "for at least the artwork price". Carriers restrict or exclude cover on one-of-a-kind artwork well below the value of a significant piece, so for higher-value work that obligation cannot be performed. Now framed as insurance to the extent cover is available, with a push to fine-art shippers above carrier limits.</w:t>
      </w:r>
    </w:p>
    <w:p>
      <w:pPr>
        <w:pStyle w:val="ListParagraph"/>
        <w:numPr>
          <w:ilvl w:val="0"/>
          <w:numId w:val="1"/>
        </w:numPr>
        <w:spacing w:after="90" w:line="288"/>
      </w:pPr>
      <w:r>
        <w:rPr>
          <w:rFonts w:ascii="Georgia" w:cs="Georgia" w:eastAsia="Georgia" w:hAnsi="Georgia"/>
          <w:b/>
          <w:bCs/>
          <w:sz w:val="21"/>
          <w:szCs w:val="21"/>
        </w:rPr>
        <w:t xml:space="preserve">Internal contradiction on resale.</w:t>
      </w:r>
      <w:r>
        <w:rPr>
          <w:rFonts w:ascii="Georgia" w:cs="Georgia" w:eastAsia="Georgia" w:hAnsi="Georgia"/>
          <w:sz w:val="21"/>
          <w:szCs w:val="21"/>
        </w:rPr>
        <w:t xml:space="preserve"> Prohibited Items forbade selling work you did not make, then permitted vintage and estate work as a restricted category. Resolved in favour of prohibition at launch, consistent with the no-secondary-market position.</w:t>
      </w:r>
    </w:p>
    <w:p>
      <w:pPr>
        <w:pStyle w:val="ListParagraph"/>
        <w:numPr>
          <w:ilvl w:val="0"/>
          <w:numId w:val="1"/>
        </w:numPr>
        <w:spacing w:after="90" w:line="288"/>
      </w:pPr>
      <w:r>
        <w:rPr>
          <w:rFonts w:ascii="Georgia" w:cs="Georgia" w:eastAsia="Georgia" w:hAnsi="Georgia"/>
          <w:b/>
          <w:bCs/>
          <w:sz w:val="21"/>
          <w:szCs w:val="21"/>
        </w:rPr>
        <w:t xml:space="preserve">Commissions.</w:t>
      </w:r>
      <w:r>
        <w:rPr>
          <w:rFonts w:ascii="Georgia" w:cs="Georgia" w:eastAsia="Georgia" w:hAnsi="Georgia"/>
          <w:sz w:val="21"/>
          <w:szCs w:val="21"/>
        </w:rPr>
        <w:t xml:space="preserve"> The Terms of Service forbade off-platform transacting while the same set said commissions are arranged and paid off-platform at launch. Carved out.</w:t>
      </w:r>
    </w:p>
    <w:p>
      <w:pPr>
        <w:pStyle w:val="ListParagraph"/>
        <w:numPr>
          <w:ilvl w:val="0"/>
          <w:numId w:val="1"/>
        </w:numPr>
        <w:spacing w:after="90" w:line="288"/>
      </w:pPr>
      <w:r>
        <w:rPr>
          <w:rFonts w:ascii="Georgia" w:cs="Georgia" w:eastAsia="Georgia" w:hAnsi="Georgia"/>
          <w:b/>
          <w:bCs/>
          <w:sz w:val="21"/>
          <w:szCs w:val="21"/>
        </w:rPr>
        <w:t xml:space="preserve">Artist Agreement §4.5</w:t>
      </w:r>
      <w:r>
        <w:rPr>
          <w:rFonts w:ascii="Georgia" w:cs="Georgia" w:eastAsia="Georgia" w:hAnsi="Georgia"/>
          <w:sz w:val="21"/>
          <w:szCs w:val="21"/>
        </w:rPr>
        <w:t xml:space="preserve"> said "Requirements 5 is measured". Fixed.</w:t>
      </w:r>
    </w:p>
    <w:p>
      <w:pPr>
        <w:keepNext/>
        <w:spacing w:after="140" w:before="360"/>
      </w:pPr>
      <w:r>
        <w:rPr>
          <w:rFonts w:ascii="Georgia" w:cs="Georgia" w:eastAsia="Georgia" w:hAnsi="Georgia"/>
          <w:b/>
          <w:bCs/>
          <w:sz w:val="25"/>
          <w:szCs w:val="25"/>
        </w:rPr>
        <w:t xml:space="preserve">4. Substantive additions</w:t>
      </w:r>
    </w:p>
    <w:p>
      <w:pPr>
        <w:pStyle w:val="ListParagraph"/>
        <w:numPr>
          <w:ilvl w:val="0"/>
          <w:numId w:val="1"/>
        </w:numPr>
        <w:spacing w:after="90" w:line="288"/>
      </w:pPr>
      <w:r>
        <w:rPr>
          <w:rFonts w:ascii="Georgia" w:cs="Georgia" w:eastAsia="Georgia" w:hAnsi="Georgia"/>
          <w:b/>
          <w:bCs/>
          <w:sz w:val="21"/>
          <w:szCs w:val="21"/>
        </w:rPr>
        <w:t xml:space="preserve">Recovery of a negative balance.</w:t>
      </w:r>
      <w:r>
        <w:rPr>
          <w:rFonts w:ascii="Georgia" w:cs="Georgia" w:eastAsia="Georgia" w:hAnsi="Georgia"/>
          <w:sz w:val="21"/>
          <w:szCs w:val="21"/>
        </w:rPr>
        <w:t xml:space="preserve"> Nothing gave Custom Canvas a route to a shortfall once a reversed payout had emptied an artist's Stripe balance. Added: set-off against future payouts, plus a right to hold payouts or place a reserve pending investigation.</w:t>
      </w:r>
    </w:p>
    <w:p>
      <w:pPr>
        <w:pStyle w:val="ListParagraph"/>
        <w:numPr>
          <w:ilvl w:val="0"/>
          <w:numId w:val="1"/>
        </w:numPr>
        <w:spacing w:after="90" w:line="288"/>
      </w:pPr>
      <w:r>
        <w:rPr>
          <w:rFonts w:ascii="Georgia" w:cs="Georgia" w:eastAsia="Georgia" w:hAnsi="Georgia"/>
          <w:b/>
          <w:bCs/>
          <w:sz w:val="21"/>
          <w:szCs w:val="21"/>
        </w:rPr>
        <w:t xml:space="preserve">Abandoned orders.</w:t>
      </w:r>
      <w:r>
        <w:rPr>
          <w:rFonts w:ascii="Georgia" w:cs="Georgia" w:eastAsia="Georgia" w:hAnsi="Georgia"/>
          <w:sz w:val="21"/>
          <w:szCs w:val="21"/>
        </w:rPr>
        <w:t xml:space="preserve"> Added a path to cancel and refund where an artist neither ships nor responds.</w:t>
      </w:r>
    </w:p>
    <w:p>
      <w:pPr>
        <w:pStyle w:val="ListParagraph"/>
        <w:numPr>
          <w:ilvl w:val="0"/>
          <w:numId w:val="1"/>
        </w:numPr>
        <w:spacing w:after="90" w:line="288"/>
      </w:pPr>
      <w:r>
        <w:rPr>
          <w:rFonts w:ascii="Georgia" w:cs="Georgia" w:eastAsia="Georgia" w:hAnsi="Georgia"/>
          <w:b/>
          <w:bCs/>
          <w:sz w:val="21"/>
          <w:szCs w:val="21"/>
        </w:rPr>
        <w:t xml:space="preserve">Minimum age raised from 13 to 18</w:t>
      </w:r>
      <w:r>
        <w:rPr>
          <w:rFonts w:ascii="Georgia" w:cs="Georgia" w:eastAsia="Georgia" w:hAnsi="Georgia"/>
          <w:sz w:val="21"/>
          <w:szCs w:val="21"/>
        </w:rPr>
        <w:t xml:space="preserve"> for every account. Reasoning in Terms of Service §2, including the Texas SCOPE Act point. Please confirm.</w:t>
      </w:r>
    </w:p>
    <w:p>
      <w:pPr>
        <w:pStyle w:val="ListParagraph"/>
        <w:numPr>
          <w:ilvl w:val="0"/>
          <w:numId w:val="1"/>
        </w:numPr>
        <w:spacing w:after="90" w:line="288"/>
      </w:pPr>
      <w:r>
        <w:rPr>
          <w:rFonts w:ascii="Georgia" w:cs="Georgia" w:eastAsia="Georgia" w:hAnsi="Georgia"/>
          <w:b/>
          <w:bCs/>
          <w:sz w:val="21"/>
          <w:szCs w:val="21"/>
        </w:rPr>
        <w:t xml:space="preserve">Rights appeals</w:t>
      </w:r>
      <w:r>
        <w:rPr>
          <w:rFonts w:ascii="Georgia" w:cs="Georgia" w:eastAsia="Georgia" w:hAnsi="Georgia"/>
          <w:sz w:val="21"/>
          <w:szCs w:val="21"/>
        </w:rPr>
        <w:t xml:space="preserve"> added to the privacy policy, with an escalation route to the Texas Attorney General, alongside a Global Privacy Control statement.</w:t>
      </w:r>
    </w:p>
    <w:p>
      <w:pPr>
        <w:pStyle w:val="ListParagraph"/>
        <w:numPr>
          <w:ilvl w:val="0"/>
          <w:numId w:val="1"/>
        </w:numPr>
        <w:spacing w:after="90" w:line="288"/>
      </w:pPr>
      <w:r>
        <w:rPr>
          <w:rFonts w:ascii="Georgia" w:cs="Georgia" w:eastAsia="Georgia" w:hAnsi="Georgia"/>
          <w:b/>
          <w:bCs/>
          <w:sz w:val="21"/>
          <w:szCs w:val="21"/>
        </w:rPr>
        <w:t xml:space="preserve">NCMEC reporting</w:t>
      </w:r>
      <w:r>
        <w:rPr>
          <w:rFonts w:ascii="Georgia" w:cs="Georgia" w:eastAsia="Georgia" w:hAnsi="Georgia"/>
          <w:sz w:val="21"/>
          <w:szCs w:val="21"/>
        </w:rPr>
        <w:t xml:space="preserve"> stated in the Community Guidelines.</w:t>
      </w:r>
    </w:p>
    <w:p>
      <w:pPr>
        <w:pStyle w:val="ListParagraph"/>
        <w:numPr>
          <w:ilvl w:val="0"/>
          <w:numId w:val="1"/>
        </w:numPr>
        <w:spacing w:after="90" w:line="288"/>
      </w:pPr>
      <w:r>
        <w:rPr>
          <w:rFonts w:ascii="Georgia" w:cs="Georgia" w:eastAsia="Georgia" w:hAnsi="Georgia"/>
          <w:b/>
          <w:bCs/>
          <w:sz w:val="21"/>
          <w:szCs w:val="21"/>
        </w:rPr>
        <w:t xml:space="preserve">1099-K filing responsibility</w:t>
      </w:r>
      <w:r>
        <w:rPr>
          <w:rFonts w:ascii="Georgia" w:cs="Georgia" w:eastAsia="Georgia" w:hAnsi="Georgia"/>
          <w:sz w:val="21"/>
          <w:szCs w:val="21"/>
        </w:rPr>
        <w:t xml:space="preserve"> flagged: charges are created on the Custom Canvas account, so we may be the payment settlement entity rather than a beneficiary of Stripe's filing.</w:t>
      </w:r>
    </w:p>
    <w:p>
      <w:pPr>
        <w:keepNext/>
        <w:spacing w:after="140" w:before="360"/>
      </w:pPr>
      <w:r>
        <w:rPr>
          <w:rFonts w:ascii="Georgia" w:cs="Georgia" w:eastAsia="Georgia" w:hAnsi="Georgia"/>
          <w:b/>
          <w:bCs/>
          <w:sz w:val="25"/>
          <w:szCs w:val="25"/>
        </w:rPr>
        <w:t xml:space="preserve">5. Three documents describe behaviour that does not exist yet</w:t>
      </w:r>
    </w:p>
    <w:p>
      <w:pPr>
        <w:spacing w:after="140" w:line="288"/>
        <w:jc w:val="left"/>
      </w:pPr>
      <w:r>
        <w:rPr>
          <w:rFonts w:ascii="Georgia" w:cs="Georgia" w:eastAsia="Georgia" w:hAnsi="Georgia"/>
          <w:sz w:val="21"/>
          <w:szCs w:val="21"/>
        </w:rPr>
        <w:t xml:space="preserve">Marked inline, and repeated here because publishing any of them ahead of the code would create the exposure it was meant to close:</w:t>
      </w:r>
    </w:p>
    <w:p>
      <w:pPr>
        <w:pStyle w:val="ListParagraph"/>
        <w:numPr>
          <w:ilvl w:val="0"/>
          <w:numId w:val="2"/>
        </w:numPr>
        <w:spacing w:after="90" w:line="288"/>
      </w:pPr>
      <w:r>
        <w:rPr>
          <w:rFonts w:ascii="Georgia" w:cs="Georgia" w:eastAsia="Georgia" w:hAnsi="Georgia"/>
          <w:sz w:val="21"/>
          <w:szCs w:val="21"/>
        </w:rPr>
        <w:t xml:space="preserve">The buyer's cancellation right when the shipping window is missed.</w:t>
      </w:r>
    </w:p>
    <w:p>
      <w:pPr>
        <w:pStyle w:val="ListParagraph"/>
        <w:numPr>
          <w:ilvl w:val="0"/>
          <w:numId w:val="2"/>
        </w:numPr>
        <w:spacing w:after="90" w:line="288"/>
      </w:pPr>
      <w:r>
        <w:rPr>
          <w:rFonts w:ascii="Georgia" w:cs="Georgia" w:eastAsia="Georgia" w:hAnsi="Georgia"/>
          <w:sz w:val="21"/>
          <w:szCs w:val="21"/>
        </w:rPr>
        <w:t xml:space="preserve">Refund of the service fee on a fault-based refund. The refund code currently retains the fee on every refund without exception.</w:t>
      </w:r>
    </w:p>
    <w:p>
      <w:pPr>
        <w:pStyle w:val="ListParagraph"/>
        <w:numPr>
          <w:ilvl w:val="0"/>
          <w:numId w:val="2"/>
        </w:numPr>
        <w:spacing w:after="90" w:line="288"/>
      </w:pPr>
      <w:r>
        <w:rPr>
          <w:rFonts w:ascii="Georgia" w:cs="Georgia" w:eastAsia="Georgia" w:hAnsi="Georgia"/>
          <w:sz w:val="21"/>
          <w:szCs w:val="21"/>
        </w:rPr>
        <w:t xml:space="preserve">Unilateral refund of an abandoned order.</w:t>
      </w:r>
    </w:p>
    <w:p>
      <w:pPr>
        <w:keepNext/>
        <w:spacing w:after="140" w:before="360"/>
      </w:pPr>
      <w:r>
        <w:rPr>
          <w:rFonts w:ascii="Georgia" w:cs="Georgia" w:eastAsia="Georgia" w:hAnsi="Georgia"/>
          <w:b/>
          <w:bCs/>
          <w:sz w:val="25"/>
          <w:szCs w:val="25"/>
        </w:rPr>
        <w:t xml:space="preserve">6. The cheapest item on the list</w:t>
      </w:r>
    </w:p>
    <w:p>
      <w:pPr>
        <w:spacing w:after="140" w:line="288"/>
        <w:jc w:val="left"/>
      </w:pPr>
      <w:r>
        <w:rPr>
          <w:rFonts w:ascii="Georgia" w:cs="Georgia" w:eastAsia="Georgia" w:hAnsi="Georgia"/>
          <w:sz w:val="21"/>
          <w:szCs w:val="21"/>
        </w:rPr>
        <w:t xml:space="preserve">Registering a </w:t>
      </w:r>
      <w:r>
        <w:rPr>
          <w:rFonts w:ascii="Georgia" w:cs="Georgia" w:eastAsia="Georgia" w:hAnsi="Georgia"/>
          <w:b/>
          <w:bCs/>
          <w:sz w:val="21"/>
          <w:szCs w:val="21"/>
        </w:rPr>
        <w:t xml:space="preserve">DMCA designated agent</w:t>
      </w:r>
      <w:r>
        <w:rPr>
          <w:rFonts w:ascii="Georgia" w:cs="Georgia" w:eastAsia="Georgia" w:hAnsi="Georgia"/>
          <w:sz w:val="21"/>
          <w:szCs w:val="21"/>
        </w:rPr>
        <w:t xml:space="preserve"> with the Copyright Office costs $6 and takes about twenty minutes. Without it there is no §512(c) safe harbor for a platform whose entire product is user-uploaded images. It renews every three years. Nothing else here has that ratio of cost to consequence.</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Content Review Memorandum</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2026-08-25T22:19:19.345Z</dcterms:created>
  <dcterms:modified xsi:type="dcterms:W3CDTF">2026-08-25T22:19:19.345Z</dcterms:modified>
</cp:coreProperties>
</file>

<file path=docProps/custom.xml><?xml version="1.0" encoding="utf-8"?>
<Properties xmlns="http://schemas.openxmlformats.org/officeDocument/2006/custom-properties" xmlns:vt="http://schemas.openxmlformats.org/officeDocument/2006/docPropsVTypes"/>
</file>